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51" w:rsidRPr="00BE150B" w:rsidRDefault="00293251" w:rsidP="00260800">
      <w:pPr>
        <w:rPr>
          <w:sz w:val="24"/>
          <w:szCs w:val="24"/>
          <w:lang w:val="en-US"/>
        </w:rPr>
      </w:pPr>
    </w:p>
    <w:p w:rsidR="00AE5C2A" w:rsidRDefault="00CB418B" w:rsidP="00032880">
      <w:pPr>
        <w:jc w:val="center"/>
        <w:rPr>
          <w:b/>
          <w:sz w:val="24"/>
          <w:szCs w:val="24"/>
          <w:lang w:val="en-US"/>
        </w:rPr>
      </w:pPr>
      <w:r w:rsidRPr="00FD6B58">
        <w:rPr>
          <w:b/>
          <w:sz w:val="24"/>
          <w:szCs w:val="24"/>
          <w:lang w:val="en-US"/>
        </w:rPr>
        <w:t xml:space="preserve">How Universal </w:t>
      </w:r>
      <w:r w:rsidR="00F54CF9" w:rsidRPr="00FD6B58">
        <w:rPr>
          <w:b/>
          <w:sz w:val="24"/>
          <w:szCs w:val="24"/>
          <w:lang w:val="en-US"/>
        </w:rPr>
        <w:t>I</w:t>
      </w:r>
      <w:r w:rsidRPr="00FD6B58">
        <w:rPr>
          <w:b/>
          <w:sz w:val="24"/>
          <w:szCs w:val="24"/>
          <w:lang w:val="en-US"/>
        </w:rPr>
        <w:t xml:space="preserve">s the </w:t>
      </w:r>
      <w:r w:rsidR="001F5BAC">
        <w:rPr>
          <w:b/>
          <w:sz w:val="24"/>
          <w:szCs w:val="24"/>
          <w:lang w:val="en-US"/>
        </w:rPr>
        <w:t>Corporate Form</w:t>
      </w:r>
      <w:r w:rsidRPr="00FD6B58">
        <w:rPr>
          <w:b/>
          <w:sz w:val="24"/>
          <w:szCs w:val="24"/>
          <w:lang w:val="en-US"/>
        </w:rPr>
        <w:t>?</w:t>
      </w:r>
    </w:p>
    <w:p w:rsidR="00CB418B" w:rsidRPr="00FD6B58" w:rsidRDefault="00CB418B" w:rsidP="00032880">
      <w:pPr>
        <w:jc w:val="center"/>
        <w:rPr>
          <w:b/>
          <w:sz w:val="24"/>
          <w:szCs w:val="24"/>
          <w:lang w:val="en-US"/>
        </w:rPr>
      </w:pPr>
      <w:r w:rsidRPr="00FD6B58">
        <w:rPr>
          <w:b/>
          <w:sz w:val="24"/>
          <w:szCs w:val="24"/>
          <w:lang w:val="en-US"/>
        </w:rPr>
        <w:t xml:space="preserve"> </w:t>
      </w:r>
      <w:r w:rsidR="00032880">
        <w:rPr>
          <w:b/>
          <w:sz w:val="24"/>
          <w:szCs w:val="24"/>
          <w:lang w:val="en-US"/>
        </w:rPr>
        <w:t>Reflections on the Dwindling of Corporate Attributes in Brazil</w:t>
      </w:r>
    </w:p>
    <w:p w:rsidR="00F54CF9" w:rsidRPr="00FD6B58" w:rsidRDefault="00F54CF9" w:rsidP="00260800">
      <w:pPr>
        <w:jc w:val="center"/>
        <w:rPr>
          <w:b/>
          <w:i/>
          <w:sz w:val="24"/>
          <w:szCs w:val="24"/>
          <w:lang w:val="en-US"/>
        </w:rPr>
      </w:pPr>
    </w:p>
    <w:p w:rsidR="00F54CF9" w:rsidRPr="00FD6B58" w:rsidRDefault="00F54CF9" w:rsidP="00260800">
      <w:pPr>
        <w:ind w:left="708"/>
        <w:jc w:val="center"/>
        <w:rPr>
          <w:sz w:val="24"/>
          <w:szCs w:val="24"/>
          <w:lang w:val="en-US"/>
        </w:rPr>
      </w:pPr>
      <w:r w:rsidRPr="00FD6B58">
        <w:rPr>
          <w:sz w:val="24"/>
          <w:szCs w:val="24"/>
          <w:lang w:val="en-US"/>
        </w:rPr>
        <w:t>Mariana Pargendler</w:t>
      </w:r>
      <w:r w:rsidR="004B0706">
        <w:rPr>
          <w:sz w:val="24"/>
          <w:szCs w:val="24"/>
          <w:lang w:val="en-US"/>
        </w:rPr>
        <w:t>*</w:t>
      </w:r>
    </w:p>
    <w:p w:rsidR="00EF72C0" w:rsidRDefault="00EF72C0" w:rsidP="00EF72C0">
      <w:pPr>
        <w:rPr>
          <w:sz w:val="24"/>
          <w:szCs w:val="24"/>
          <w:lang w:val="en-US"/>
        </w:rPr>
      </w:pPr>
    </w:p>
    <w:p w:rsidR="00EF72C0" w:rsidRDefault="00EF72C0" w:rsidP="00EF72C0">
      <w:pPr>
        <w:rPr>
          <w:sz w:val="24"/>
          <w:szCs w:val="24"/>
          <w:lang w:val="en-US"/>
        </w:rPr>
      </w:pPr>
    </w:p>
    <w:p w:rsidR="00EF72C0" w:rsidRPr="00EF72C0" w:rsidRDefault="00EF72C0" w:rsidP="00260800">
      <w:pPr>
        <w:jc w:val="both"/>
        <w:rPr>
          <w:b/>
          <w:sz w:val="24"/>
          <w:szCs w:val="24"/>
          <w:lang w:val="en-US"/>
        </w:rPr>
      </w:pPr>
      <w:r w:rsidRPr="00EF72C0">
        <w:rPr>
          <w:b/>
          <w:sz w:val="24"/>
          <w:szCs w:val="24"/>
          <w:lang w:val="en-US"/>
        </w:rPr>
        <w:t>Abstract</w:t>
      </w:r>
    </w:p>
    <w:p w:rsidR="00EF72C0" w:rsidRPr="00EF72C0" w:rsidRDefault="00EF72C0" w:rsidP="00260800">
      <w:pPr>
        <w:jc w:val="both"/>
        <w:rPr>
          <w:sz w:val="24"/>
          <w:szCs w:val="24"/>
          <w:lang w:val="en-US"/>
        </w:rPr>
      </w:pPr>
      <w:r w:rsidRPr="00EF72C0">
        <w:rPr>
          <w:sz w:val="24"/>
          <w:szCs w:val="24"/>
          <w:lang w:val="en-US"/>
        </w:rPr>
        <w:t xml:space="preserve">The standard history of the business corporation is one of continued success and inevitable expansion to different contexts. This Article seeks to complicate this view by </w:t>
      </w:r>
      <w:r w:rsidR="00390ECD">
        <w:rPr>
          <w:sz w:val="24"/>
          <w:szCs w:val="24"/>
          <w:lang w:val="en-US"/>
        </w:rPr>
        <w:t>showing</w:t>
      </w:r>
      <w:r w:rsidRPr="00EF72C0">
        <w:rPr>
          <w:sz w:val="24"/>
          <w:szCs w:val="24"/>
          <w:lang w:val="en-US"/>
        </w:rPr>
        <w:t xml:space="preserve"> how recent legal developments in Brazil have significantly watered down the canonical elements of the corporate form, namely (</w:t>
      </w:r>
      <w:proofErr w:type="spellStart"/>
      <w:r w:rsidRPr="00EF72C0">
        <w:rPr>
          <w:sz w:val="24"/>
          <w:szCs w:val="24"/>
          <w:lang w:val="en-US"/>
        </w:rPr>
        <w:t>i</w:t>
      </w:r>
      <w:proofErr w:type="spellEnd"/>
      <w:r w:rsidRPr="00EF72C0">
        <w:rPr>
          <w:sz w:val="24"/>
          <w:szCs w:val="24"/>
          <w:lang w:val="en-US"/>
        </w:rPr>
        <w:t xml:space="preserve">) legal personality and capital lock-in, (ii) limited liability, (iii) delegated management, </w:t>
      </w:r>
      <w:proofErr w:type="gramStart"/>
      <w:r w:rsidRPr="00EF72C0">
        <w:rPr>
          <w:sz w:val="24"/>
          <w:szCs w:val="24"/>
          <w:lang w:val="en-US"/>
        </w:rPr>
        <w:t>(iv) transferable</w:t>
      </w:r>
      <w:proofErr w:type="gramEnd"/>
      <w:r w:rsidRPr="00EF72C0">
        <w:rPr>
          <w:sz w:val="24"/>
          <w:szCs w:val="24"/>
          <w:lang w:val="en-US"/>
        </w:rPr>
        <w:t xml:space="preserve"> shares, and (v) investor ownership. It then examines these developments in view of efficiency and distribution considerations. In particular, it explores whether “</w:t>
      </w:r>
      <w:proofErr w:type="spellStart"/>
      <w:r w:rsidRPr="00EF72C0">
        <w:rPr>
          <w:sz w:val="24"/>
          <w:szCs w:val="24"/>
          <w:lang w:val="en-US"/>
        </w:rPr>
        <w:t>decorporatization</w:t>
      </w:r>
      <w:proofErr w:type="spellEnd"/>
      <w:r w:rsidRPr="00EF72C0">
        <w:rPr>
          <w:sz w:val="24"/>
          <w:szCs w:val="24"/>
          <w:lang w:val="en-US"/>
        </w:rPr>
        <w:t>” of enterprise in Brazil may constitute a second-best response to a deficient institutional environment</w:t>
      </w:r>
      <w:r w:rsidR="00B21625">
        <w:rPr>
          <w:sz w:val="24"/>
          <w:szCs w:val="24"/>
          <w:lang w:val="en-US"/>
        </w:rPr>
        <w:t>.</w:t>
      </w:r>
      <w:r w:rsidR="00CE39EF">
        <w:rPr>
          <w:sz w:val="24"/>
          <w:szCs w:val="24"/>
          <w:lang w:val="en-US"/>
        </w:rPr>
        <w:t xml:space="preserve"> </w:t>
      </w:r>
    </w:p>
    <w:p w:rsidR="00EF72C0" w:rsidRDefault="00EF72C0" w:rsidP="00260800">
      <w:pPr>
        <w:jc w:val="both"/>
        <w:rPr>
          <w:b/>
          <w:sz w:val="24"/>
          <w:szCs w:val="24"/>
          <w:lang w:val="en-US"/>
        </w:rPr>
      </w:pPr>
    </w:p>
    <w:p w:rsidR="009A2042" w:rsidRDefault="009A2042" w:rsidP="00260800">
      <w:pPr>
        <w:jc w:val="both"/>
        <w:rPr>
          <w:b/>
          <w:sz w:val="24"/>
          <w:szCs w:val="24"/>
          <w:lang w:val="en-US"/>
        </w:rPr>
      </w:pPr>
      <w:r w:rsidRPr="00FD6B58">
        <w:rPr>
          <w:b/>
          <w:sz w:val="24"/>
          <w:szCs w:val="24"/>
          <w:lang w:val="en-US"/>
        </w:rPr>
        <w:t>Introduction</w:t>
      </w:r>
    </w:p>
    <w:p w:rsidR="00F54CF9" w:rsidRPr="00FD6B58" w:rsidRDefault="0042526C" w:rsidP="00260800">
      <w:pPr>
        <w:jc w:val="both"/>
        <w:rPr>
          <w:sz w:val="24"/>
          <w:szCs w:val="24"/>
          <w:lang w:val="en-US"/>
        </w:rPr>
      </w:pPr>
      <w:r>
        <w:rPr>
          <w:b/>
          <w:sz w:val="24"/>
          <w:szCs w:val="24"/>
          <w:lang w:val="en-US"/>
        </w:rPr>
        <w:tab/>
      </w:r>
      <w:r>
        <w:rPr>
          <w:sz w:val="24"/>
          <w:szCs w:val="24"/>
          <w:lang w:val="en-US"/>
        </w:rPr>
        <w:t xml:space="preserve">The business corporation is a </w:t>
      </w:r>
      <w:r w:rsidR="009B630B">
        <w:rPr>
          <w:sz w:val="24"/>
          <w:szCs w:val="24"/>
          <w:lang w:val="en-US"/>
        </w:rPr>
        <w:t>central institution of</w:t>
      </w:r>
      <w:r>
        <w:rPr>
          <w:sz w:val="24"/>
          <w:szCs w:val="24"/>
          <w:lang w:val="en-US"/>
        </w:rPr>
        <w:t xml:space="preserve"> modern capitalism. </w:t>
      </w:r>
      <w:r w:rsidR="00791A7D">
        <w:rPr>
          <w:sz w:val="24"/>
          <w:szCs w:val="24"/>
          <w:lang w:val="en-US"/>
        </w:rPr>
        <w:t xml:space="preserve">Since its origins </w:t>
      </w:r>
      <w:r w:rsidR="00D60F4C">
        <w:rPr>
          <w:sz w:val="24"/>
          <w:szCs w:val="24"/>
          <w:lang w:val="en-US"/>
        </w:rPr>
        <w:t>several centuries ago</w:t>
      </w:r>
      <w:r w:rsidR="00791A7D">
        <w:rPr>
          <w:sz w:val="24"/>
          <w:szCs w:val="24"/>
          <w:lang w:val="en-US"/>
        </w:rPr>
        <w:t xml:space="preserve">, the </w:t>
      </w:r>
      <w:r w:rsidR="00693087">
        <w:rPr>
          <w:sz w:val="24"/>
          <w:szCs w:val="24"/>
          <w:lang w:val="en-US"/>
        </w:rPr>
        <w:t xml:space="preserve">reported </w:t>
      </w:r>
      <w:r w:rsidR="00791A7D">
        <w:rPr>
          <w:sz w:val="24"/>
          <w:szCs w:val="24"/>
          <w:lang w:val="en-US"/>
        </w:rPr>
        <w:t xml:space="preserve">history of the corporate form </w:t>
      </w:r>
      <w:r w:rsidR="00693087">
        <w:rPr>
          <w:sz w:val="24"/>
          <w:szCs w:val="24"/>
          <w:lang w:val="en-US"/>
        </w:rPr>
        <w:t>is</w:t>
      </w:r>
      <w:r w:rsidR="00791A7D">
        <w:rPr>
          <w:sz w:val="24"/>
          <w:szCs w:val="24"/>
          <w:lang w:val="en-US"/>
        </w:rPr>
        <w:t xml:space="preserve"> one of </w:t>
      </w:r>
      <w:r w:rsidR="00791A7D" w:rsidRPr="00FD6B58">
        <w:rPr>
          <w:sz w:val="24"/>
          <w:szCs w:val="24"/>
          <w:lang w:val="en-US"/>
        </w:rPr>
        <w:t xml:space="preserve">continued proliferation and diffusion </w:t>
      </w:r>
      <w:r w:rsidR="00791A7D">
        <w:rPr>
          <w:sz w:val="24"/>
          <w:szCs w:val="24"/>
          <w:lang w:val="en-US"/>
        </w:rPr>
        <w:t>to</w:t>
      </w:r>
      <w:r w:rsidR="00791A7D" w:rsidRPr="00FD6B58">
        <w:rPr>
          <w:sz w:val="24"/>
          <w:szCs w:val="24"/>
          <w:lang w:val="en-US"/>
        </w:rPr>
        <w:t xml:space="preserve"> different contexts, including developing and </w:t>
      </w:r>
      <w:r w:rsidR="00B6459B">
        <w:rPr>
          <w:sz w:val="24"/>
          <w:szCs w:val="24"/>
          <w:lang w:val="en-US"/>
        </w:rPr>
        <w:t>formally</w:t>
      </w:r>
      <w:r w:rsidR="00E05BE8">
        <w:rPr>
          <w:sz w:val="24"/>
          <w:szCs w:val="24"/>
          <w:lang w:val="en-US"/>
        </w:rPr>
        <w:t xml:space="preserve"> </w:t>
      </w:r>
      <w:r w:rsidR="00791A7D">
        <w:rPr>
          <w:sz w:val="24"/>
          <w:szCs w:val="24"/>
          <w:lang w:val="en-US"/>
        </w:rPr>
        <w:t xml:space="preserve">communist economies. Remarkably, </w:t>
      </w:r>
      <w:r w:rsidR="00DA04BB">
        <w:rPr>
          <w:sz w:val="24"/>
          <w:szCs w:val="24"/>
          <w:lang w:val="en-US"/>
        </w:rPr>
        <w:t xml:space="preserve">the business corporation </w:t>
      </w:r>
      <w:r w:rsidR="00F54CF9" w:rsidRPr="00FD6B58">
        <w:rPr>
          <w:sz w:val="24"/>
          <w:szCs w:val="24"/>
          <w:lang w:val="en-US"/>
        </w:rPr>
        <w:t>displays the same core characteristics around the world. These are (</w:t>
      </w:r>
      <w:proofErr w:type="spellStart"/>
      <w:r w:rsidR="00F54CF9" w:rsidRPr="00FD6B58">
        <w:rPr>
          <w:sz w:val="24"/>
          <w:szCs w:val="24"/>
          <w:lang w:val="en-US"/>
        </w:rPr>
        <w:t>i</w:t>
      </w:r>
      <w:proofErr w:type="spellEnd"/>
      <w:r w:rsidR="00F54CF9" w:rsidRPr="00FD6B58">
        <w:rPr>
          <w:sz w:val="24"/>
          <w:szCs w:val="24"/>
          <w:lang w:val="en-US"/>
        </w:rPr>
        <w:t>) legal personality, (ii) limited liability, (</w:t>
      </w:r>
      <w:r w:rsidR="000373FF">
        <w:rPr>
          <w:sz w:val="24"/>
          <w:szCs w:val="24"/>
          <w:lang w:val="en-US"/>
        </w:rPr>
        <w:t xml:space="preserve">iii) delegated management, </w:t>
      </w:r>
      <w:proofErr w:type="gramStart"/>
      <w:r w:rsidR="000373FF">
        <w:rPr>
          <w:sz w:val="24"/>
          <w:szCs w:val="24"/>
          <w:lang w:val="en-US"/>
        </w:rPr>
        <w:t xml:space="preserve">(iv) </w:t>
      </w:r>
      <w:r w:rsidR="00F54CF9" w:rsidRPr="00FD6B58">
        <w:rPr>
          <w:sz w:val="24"/>
          <w:szCs w:val="24"/>
          <w:lang w:val="en-US"/>
        </w:rPr>
        <w:t>transferable</w:t>
      </w:r>
      <w:proofErr w:type="gramEnd"/>
      <w:r w:rsidR="00F54CF9" w:rsidRPr="00FD6B58">
        <w:rPr>
          <w:sz w:val="24"/>
          <w:szCs w:val="24"/>
          <w:lang w:val="en-US"/>
        </w:rPr>
        <w:t xml:space="preserve"> shares, and (v) investor ownership.</w:t>
      </w:r>
      <w:bookmarkStart w:id="0" w:name="_Ref451501819"/>
      <w:r w:rsidR="00F54CF9" w:rsidRPr="00FD6B58">
        <w:rPr>
          <w:rStyle w:val="Refdenotaderodap"/>
          <w:sz w:val="24"/>
          <w:szCs w:val="24"/>
        </w:rPr>
        <w:footnoteReference w:id="1"/>
      </w:r>
      <w:bookmarkEnd w:id="0"/>
      <w:r w:rsidR="008E2B7E" w:rsidRPr="00FD6B58">
        <w:rPr>
          <w:sz w:val="24"/>
          <w:szCs w:val="24"/>
          <w:lang w:val="en-US"/>
        </w:rPr>
        <w:t xml:space="preserve"> These characteristics</w:t>
      </w:r>
      <w:r w:rsidR="000D050A" w:rsidRPr="00FD6B58">
        <w:rPr>
          <w:sz w:val="24"/>
          <w:szCs w:val="24"/>
          <w:lang w:val="en-US"/>
        </w:rPr>
        <w:t>, in turn,</w:t>
      </w:r>
      <w:r w:rsidR="008E2B7E" w:rsidRPr="00FD6B58">
        <w:rPr>
          <w:sz w:val="24"/>
          <w:szCs w:val="24"/>
          <w:lang w:val="en-US"/>
        </w:rPr>
        <w:t xml:space="preserve"> </w:t>
      </w:r>
      <w:r w:rsidR="000D050A" w:rsidRPr="00FD6B58">
        <w:rPr>
          <w:sz w:val="24"/>
          <w:szCs w:val="24"/>
          <w:lang w:val="en-US"/>
        </w:rPr>
        <w:t>generate</w:t>
      </w:r>
      <w:r w:rsidR="008E2B7E" w:rsidRPr="00FD6B58">
        <w:rPr>
          <w:sz w:val="24"/>
          <w:szCs w:val="24"/>
          <w:lang w:val="en-US"/>
        </w:rPr>
        <w:t xml:space="preserve"> three </w:t>
      </w:r>
      <w:r w:rsidR="000D050A" w:rsidRPr="00FD6B58">
        <w:rPr>
          <w:sz w:val="24"/>
          <w:szCs w:val="24"/>
          <w:lang w:val="en-US"/>
        </w:rPr>
        <w:t>types</w:t>
      </w:r>
      <w:r w:rsidR="00EE2AEF" w:rsidRPr="00FD6B58">
        <w:rPr>
          <w:sz w:val="24"/>
          <w:szCs w:val="24"/>
          <w:lang w:val="en-US"/>
        </w:rPr>
        <w:t xml:space="preserve"> of</w:t>
      </w:r>
      <w:r w:rsidR="008E2B7E" w:rsidRPr="00FD6B58">
        <w:rPr>
          <w:sz w:val="24"/>
          <w:szCs w:val="24"/>
          <w:lang w:val="en-US"/>
        </w:rPr>
        <w:t xml:space="preserve"> agency problems</w:t>
      </w:r>
      <w:r w:rsidR="00B6459B">
        <w:rPr>
          <w:sz w:val="24"/>
          <w:szCs w:val="24"/>
          <w:lang w:val="en-US"/>
        </w:rPr>
        <w:t xml:space="preserve">—between </w:t>
      </w:r>
      <w:r w:rsidR="008E2B7E" w:rsidRPr="00FD6B58">
        <w:rPr>
          <w:sz w:val="24"/>
          <w:szCs w:val="24"/>
          <w:lang w:val="en-US"/>
        </w:rPr>
        <w:t>managers and shareholders, controlling shareholders and non-controlling shareholders, and shareho</w:t>
      </w:r>
      <w:r w:rsidR="00394F36" w:rsidRPr="00FD6B58">
        <w:rPr>
          <w:sz w:val="24"/>
          <w:szCs w:val="24"/>
          <w:lang w:val="en-US"/>
        </w:rPr>
        <w:t>lders and creditors</w:t>
      </w:r>
      <w:r w:rsidR="00A10875" w:rsidRPr="00FD6B58">
        <w:rPr>
          <w:sz w:val="24"/>
          <w:szCs w:val="24"/>
          <w:lang w:val="en-US"/>
        </w:rPr>
        <w:t>. M</w:t>
      </w:r>
      <w:r w:rsidR="00581292" w:rsidRPr="00FD6B58">
        <w:rPr>
          <w:sz w:val="24"/>
          <w:szCs w:val="24"/>
          <w:lang w:val="en-US"/>
        </w:rPr>
        <w:t>ost of</w:t>
      </w:r>
      <w:r w:rsidR="00394F36" w:rsidRPr="00FD6B58">
        <w:rPr>
          <w:sz w:val="24"/>
          <w:szCs w:val="24"/>
          <w:lang w:val="en-US"/>
        </w:rPr>
        <w:t xml:space="preserve"> corporate law is devoted to mitigating th</w:t>
      </w:r>
      <w:r w:rsidR="00747D7F" w:rsidRPr="00FD6B58">
        <w:rPr>
          <w:sz w:val="24"/>
          <w:szCs w:val="24"/>
          <w:lang w:val="en-US"/>
        </w:rPr>
        <w:t>ese</w:t>
      </w:r>
      <w:r w:rsidR="00394F36" w:rsidRPr="00FD6B58">
        <w:rPr>
          <w:sz w:val="24"/>
          <w:szCs w:val="24"/>
          <w:lang w:val="en-US"/>
        </w:rPr>
        <w:t xml:space="preserve"> agency problems.</w:t>
      </w:r>
      <w:r w:rsidR="00311E3C" w:rsidRPr="00FD6B58">
        <w:rPr>
          <w:rStyle w:val="Refdenotaderodap"/>
          <w:sz w:val="24"/>
          <w:szCs w:val="24"/>
          <w:lang w:val="en-US"/>
        </w:rPr>
        <w:footnoteReference w:id="2"/>
      </w:r>
      <w:r w:rsidR="00311E3C" w:rsidRPr="00311E3C">
        <w:rPr>
          <w:rStyle w:val="Refdenotaderodap"/>
          <w:sz w:val="24"/>
          <w:szCs w:val="24"/>
          <w:lang w:val="en-US"/>
        </w:rPr>
        <w:t xml:space="preserve"> </w:t>
      </w:r>
      <w:r w:rsidR="00A10875" w:rsidRPr="00FD6B58">
        <w:rPr>
          <w:sz w:val="24"/>
          <w:szCs w:val="24"/>
          <w:lang w:val="en-US"/>
        </w:rPr>
        <w:t xml:space="preserve"> </w:t>
      </w:r>
    </w:p>
    <w:p w:rsidR="00316369" w:rsidRPr="00FD6B58" w:rsidRDefault="00EE30CA" w:rsidP="00260800">
      <w:pPr>
        <w:ind w:firstLine="708"/>
        <w:jc w:val="both"/>
        <w:rPr>
          <w:sz w:val="24"/>
          <w:szCs w:val="24"/>
          <w:lang w:val="en-US"/>
        </w:rPr>
      </w:pPr>
      <w:r w:rsidRPr="00FD6B58">
        <w:rPr>
          <w:sz w:val="24"/>
          <w:szCs w:val="24"/>
          <w:lang w:val="en-US"/>
        </w:rPr>
        <w:lastRenderedPageBreak/>
        <w:t>The</w:t>
      </w:r>
      <w:r w:rsidR="00666C71">
        <w:rPr>
          <w:sz w:val="24"/>
          <w:szCs w:val="24"/>
          <w:lang w:val="en-US"/>
        </w:rPr>
        <w:t xml:space="preserve"> booming field of comparative corporate governance has documented significant</w:t>
      </w:r>
      <w:r w:rsidR="00E9215F" w:rsidRPr="00FD6B58">
        <w:rPr>
          <w:sz w:val="24"/>
          <w:szCs w:val="24"/>
          <w:lang w:val="en-US"/>
        </w:rPr>
        <w:t xml:space="preserve"> variation in the </w:t>
      </w:r>
      <w:r w:rsidR="00C11874" w:rsidRPr="00FD6B58">
        <w:rPr>
          <w:sz w:val="24"/>
          <w:szCs w:val="24"/>
          <w:lang w:val="en-US"/>
        </w:rPr>
        <w:t xml:space="preserve">contours and effectiveness of the legal </w:t>
      </w:r>
      <w:r w:rsidR="00E9215F" w:rsidRPr="00FD6B58">
        <w:rPr>
          <w:sz w:val="24"/>
          <w:szCs w:val="24"/>
          <w:lang w:val="en-US"/>
        </w:rPr>
        <w:t>mechanisms that different jurisdictions use to mitigate agency problems and protect outside investors</w:t>
      </w:r>
      <w:r w:rsidRPr="00FD6B58">
        <w:rPr>
          <w:sz w:val="24"/>
          <w:szCs w:val="24"/>
          <w:lang w:val="en-US"/>
        </w:rPr>
        <w:t>.</w:t>
      </w:r>
      <w:r w:rsidR="00B6459B">
        <w:rPr>
          <w:rStyle w:val="Refdenotaderodap"/>
          <w:sz w:val="24"/>
          <w:szCs w:val="24"/>
          <w:lang w:val="en-US"/>
        </w:rPr>
        <w:footnoteReference w:id="3"/>
      </w:r>
      <w:r w:rsidRPr="00FD6B58">
        <w:rPr>
          <w:sz w:val="24"/>
          <w:szCs w:val="24"/>
          <w:lang w:val="en-US"/>
        </w:rPr>
        <w:t xml:space="preserve"> </w:t>
      </w:r>
      <w:r w:rsidR="00A91D3E" w:rsidRPr="00FD6B58">
        <w:rPr>
          <w:sz w:val="24"/>
          <w:szCs w:val="24"/>
          <w:lang w:val="en-US"/>
        </w:rPr>
        <w:t xml:space="preserve">In fact, </w:t>
      </w:r>
      <w:r w:rsidR="001A5E6E" w:rsidRPr="00FD6B58">
        <w:rPr>
          <w:sz w:val="24"/>
          <w:szCs w:val="24"/>
          <w:lang w:val="en-US"/>
        </w:rPr>
        <w:t xml:space="preserve">scholars have suggested that such variation </w:t>
      </w:r>
      <w:r w:rsidR="00666C71">
        <w:rPr>
          <w:sz w:val="24"/>
          <w:szCs w:val="24"/>
          <w:lang w:val="en-US"/>
        </w:rPr>
        <w:t>is</w:t>
      </w:r>
      <w:r w:rsidR="001A5E6E" w:rsidRPr="00FD6B58">
        <w:rPr>
          <w:sz w:val="24"/>
          <w:szCs w:val="24"/>
          <w:lang w:val="en-US"/>
        </w:rPr>
        <w:t xml:space="preserve"> highly consequential in predicting levels of capital market development and, ultimately, economic growth.</w:t>
      </w:r>
      <w:r w:rsidR="00311E3C" w:rsidRPr="00FD6B58">
        <w:rPr>
          <w:rStyle w:val="Refdenotaderodap"/>
          <w:sz w:val="24"/>
          <w:szCs w:val="24"/>
          <w:lang w:val="en-US"/>
        </w:rPr>
        <w:footnoteReference w:id="4"/>
      </w:r>
      <w:r w:rsidR="001A5E6E" w:rsidRPr="00FD6B58">
        <w:rPr>
          <w:sz w:val="24"/>
          <w:szCs w:val="24"/>
          <w:lang w:val="en-US"/>
        </w:rPr>
        <w:t xml:space="preserve"> </w:t>
      </w:r>
      <w:r w:rsidR="008E66F6" w:rsidRPr="00FD6B58">
        <w:rPr>
          <w:sz w:val="24"/>
          <w:szCs w:val="24"/>
          <w:lang w:val="en-US"/>
        </w:rPr>
        <w:t xml:space="preserve">Other </w:t>
      </w:r>
      <w:r w:rsidR="00666C71">
        <w:rPr>
          <w:sz w:val="24"/>
          <w:szCs w:val="24"/>
          <w:lang w:val="en-US"/>
        </w:rPr>
        <w:t>work</w:t>
      </w:r>
      <w:r w:rsidR="008E66F6" w:rsidRPr="00FD6B58">
        <w:rPr>
          <w:sz w:val="24"/>
          <w:szCs w:val="24"/>
          <w:lang w:val="en-US"/>
        </w:rPr>
        <w:t>s have</w:t>
      </w:r>
      <w:r w:rsidR="00B40C69">
        <w:rPr>
          <w:sz w:val="24"/>
          <w:szCs w:val="24"/>
          <w:lang w:val="en-US"/>
        </w:rPr>
        <w:t xml:space="preserve"> </w:t>
      </w:r>
      <w:r w:rsidR="00234302" w:rsidRPr="00FD6B58">
        <w:rPr>
          <w:sz w:val="24"/>
          <w:szCs w:val="24"/>
          <w:lang w:val="en-US"/>
        </w:rPr>
        <w:t xml:space="preserve">posited that </w:t>
      </w:r>
      <w:r w:rsidR="00E628CF" w:rsidRPr="00FD6B58">
        <w:rPr>
          <w:sz w:val="24"/>
          <w:szCs w:val="24"/>
          <w:lang w:val="en-US"/>
        </w:rPr>
        <w:t>the c</w:t>
      </w:r>
      <w:r w:rsidR="00CE3ACB" w:rsidRPr="00FD6B58">
        <w:rPr>
          <w:sz w:val="24"/>
          <w:szCs w:val="24"/>
          <w:lang w:val="en-US"/>
        </w:rPr>
        <w:t xml:space="preserve">onsiderable differences in the protection of investors and workers </w:t>
      </w:r>
      <w:r w:rsidR="00E628CF" w:rsidRPr="00FD6B58">
        <w:rPr>
          <w:sz w:val="24"/>
          <w:szCs w:val="24"/>
          <w:lang w:val="en-US"/>
        </w:rPr>
        <w:t xml:space="preserve">track fundamental aspects of </w:t>
      </w:r>
      <w:r w:rsidR="00CE3ACB" w:rsidRPr="00FD6B58">
        <w:rPr>
          <w:sz w:val="24"/>
          <w:szCs w:val="24"/>
          <w:lang w:val="en-US"/>
        </w:rPr>
        <w:t xml:space="preserve">national </w:t>
      </w:r>
      <w:r w:rsidR="00E628CF" w:rsidRPr="00FD6B58">
        <w:rPr>
          <w:sz w:val="24"/>
          <w:szCs w:val="24"/>
          <w:lang w:val="en-US"/>
        </w:rPr>
        <w:t>history</w:t>
      </w:r>
      <w:r w:rsidR="00CE3ACB" w:rsidRPr="00FD6B58">
        <w:rPr>
          <w:sz w:val="24"/>
          <w:szCs w:val="24"/>
          <w:lang w:val="en-US"/>
        </w:rPr>
        <w:t>,</w:t>
      </w:r>
      <w:r w:rsidR="00E628CF" w:rsidRPr="00FD6B58">
        <w:rPr>
          <w:sz w:val="24"/>
          <w:szCs w:val="24"/>
          <w:lang w:val="en-US"/>
        </w:rPr>
        <w:t xml:space="preserve"> political economy, </w:t>
      </w:r>
      <w:r w:rsidR="00CE3ACB" w:rsidRPr="00FD6B58">
        <w:rPr>
          <w:sz w:val="24"/>
          <w:szCs w:val="24"/>
          <w:lang w:val="en-US"/>
        </w:rPr>
        <w:t xml:space="preserve">and </w:t>
      </w:r>
      <w:r w:rsidR="0005418E" w:rsidRPr="00FD6B58">
        <w:rPr>
          <w:sz w:val="24"/>
          <w:szCs w:val="24"/>
          <w:lang w:val="en-US"/>
        </w:rPr>
        <w:t>economic structure</w:t>
      </w:r>
      <w:r w:rsidR="00311E3C">
        <w:rPr>
          <w:sz w:val="24"/>
          <w:szCs w:val="24"/>
          <w:lang w:val="en-US"/>
        </w:rPr>
        <w:t>.</w:t>
      </w:r>
      <w:r w:rsidR="00311E3C">
        <w:rPr>
          <w:rStyle w:val="Refdenotaderodap"/>
          <w:sz w:val="24"/>
          <w:szCs w:val="24"/>
          <w:lang w:val="en-US"/>
        </w:rPr>
        <w:footnoteReference w:id="5"/>
      </w:r>
      <w:r w:rsidR="00311E3C" w:rsidRPr="00311E3C">
        <w:rPr>
          <w:sz w:val="24"/>
          <w:szCs w:val="24"/>
          <w:lang w:val="en-US"/>
        </w:rPr>
        <w:t xml:space="preserve"> </w:t>
      </w:r>
      <w:r w:rsidR="00E05BE8">
        <w:rPr>
          <w:sz w:val="24"/>
          <w:szCs w:val="24"/>
          <w:lang w:val="en-US"/>
        </w:rPr>
        <w:t>A</w:t>
      </w:r>
      <w:r w:rsidR="001915F6" w:rsidRPr="00FD6B58">
        <w:rPr>
          <w:sz w:val="24"/>
          <w:szCs w:val="24"/>
          <w:lang w:val="en-US"/>
        </w:rPr>
        <w:t xml:space="preserve"> recurring theme of corporate law scholarship </w:t>
      </w:r>
      <w:r w:rsidR="00E05BE8">
        <w:rPr>
          <w:sz w:val="24"/>
          <w:szCs w:val="24"/>
          <w:lang w:val="en-US"/>
        </w:rPr>
        <w:t xml:space="preserve">in the last decades </w:t>
      </w:r>
      <w:r w:rsidR="001915F6" w:rsidRPr="00FD6B58">
        <w:rPr>
          <w:sz w:val="24"/>
          <w:szCs w:val="24"/>
          <w:lang w:val="en-US"/>
        </w:rPr>
        <w:t xml:space="preserve">is the divergence (and, more recently, partial convergence) in the ownership structures of business corporations </w:t>
      </w:r>
      <w:r w:rsidR="006775BC" w:rsidRPr="00FD6B58">
        <w:rPr>
          <w:sz w:val="24"/>
          <w:szCs w:val="24"/>
          <w:lang w:val="en-US"/>
        </w:rPr>
        <w:t>around the globe</w:t>
      </w:r>
      <w:r w:rsidR="001915F6" w:rsidRPr="00FD6B58">
        <w:rPr>
          <w:sz w:val="24"/>
          <w:szCs w:val="24"/>
          <w:lang w:val="en-US"/>
        </w:rPr>
        <w:t xml:space="preserve">, with the traditional view being that only Anglo-Saxon jurisdictions </w:t>
      </w:r>
      <w:r w:rsidR="00AA1408">
        <w:rPr>
          <w:sz w:val="24"/>
          <w:szCs w:val="24"/>
          <w:lang w:val="en-US"/>
        </w:rPr>
        <w:t>boast significant levels of</w:t>
      </w:r>
      <w:r w:rsidR="001915F6" w:rsidRPr="00FD6B58">
        <w:rPr>
          <w:sz w:val="24"/>
          <w:szCs w:val="24"/>
          <w:lang w:val="en-US"/>
        </w:rPr>
        <w:t xml:space="preserve"> dispersed ownership, while controlling shareholders remain the </w:t>
      </w:r>
      <w:r w:rsidR="00B40C69">
        <w:rPr>
          <w:sz w:val="24"/>
          <w:szCs w:val="24"/>
          <w:lang w:val="en-US"/>
        </w:rPr>
        <w:t>norm elsewhere</w:t>
      </w:r>
      <w:r w:rsidR="00666C71">
        <w:rPr>
          <w:sz w:val="24"/>
          <w:szCs w:val="24"/>
          <w:lang w:val="en-US"/>
        </w:rPr>
        <w:t xml:space="preserve"> in the world</w:t>
      </w:r>
      <w:r w:rsidR="008E4770" w:rsidRPr="00FD6B58">
        <w:rPr>
          <w:sz w:val="24"/>
          <w:szCs w:val="24"/>
          <w:lang w:val="en-US"/>
        </w:rPr>
        <w:t>.</w:t>
      </w:r>
      <w:r w:rsidR="0022615E">
        <w:rPr>
          <w:rStyle w:val="Refdenotaderodap"/>
          <w:sz w:val="24"/>
          <w:szCs w:val="24"/>
          <w:lang w:val="en-US"/>
        </w:rPr>
        <w:footnoteReference w:id="6"/>
      </w:r>
      <w:r w:rsidR="008E4770" w:rsidRPr="00FD6B58">
        <w:rPr>
          <w:sz w:val="24"/>
          <w:szCs w:val="24"/>
          <w:lang w:val="en-US"/>
        </w:rPr>
        <w:t xml:space="preserve"> </w:t>
      </w:r>
    </w:p>
    <w:p w:rsidR="005E73A3" w:rsidRDefault="0096725F" w:rsidP="005E73A3">
      <w:pPr>
        <w:ind w:firstLine="708"/>
        <w:jc w:val="both"/>
        <w:rPr>
          <w:sz w:val="24"/>
          <w:szCs w:val="24"/>
          <w:lang w:val="en-US"/>
        </w:rPr>
      </w:pPr>
      <w:r w:rsidRPr="00FD6B58">
        <w:rPr>
          <w:sz w:val="24"/>
          <w:szCs w:val="24"/>
          <w:lang w:val="en-US"/>
        </w:rPr>
        <w:t>These efforts have painted</w:t>
      </w:r>
      <w:r w:rsidR="002D7EF3" w:rsidRPr="00FD6B58">
        <w:rPr>
          <w:sz w:val="24"/>
          <w:szCs w:val="24"/>
          <w:lang w:val="en-US"/>
        </w:rPr>
        <w:t xml:space="preserve"> a clear picture</w:t>
      </w:r>
      <w:r w:rsidR="00AE085E" w:rsidRPr="00FD6B58">
        <w:rPr>
          <w:sz w:val="24"/>
          <w:szCs w:val="24"/>
          <w:lang w:val="en-US"/>
        </w:rPr>
        <w:t xml:space="preserve">: the corporate form itself is universal, but </w:t>
      </w:r>
      <w:r w:rsidR="0084294F">
        <w:rPr>
          <w:sz w:val="24"/>
          <w:szCs w:val="24"/>
          <w:lang w:val="en-US"/>
        </w:rPr>
        <w:t xml:space="preserve">ownership structures and the </w:t>
      </w:r>
      <w:r w:rsidR="00AE085E" w:rsidRPr="00FD6B58">
        <w:rPr>
          <w:sz w:val="24"/>
          <w:szCs w:val="24"/>
          <w:lang w:val="en-US"/>
        </w:rPr>
        <w:t xml:space="preserve">legal strategies used to protect investors and other constituencies are not. </w:t>
      </w:r>
      <w:r w:rsidR="0041299D" w:rsidRPr="00FD6B58">
        <w:rPr>
          <w:sz w:val="24"/>
          <w:szCs w:val="24"/>
          <w:lang w:val="en-US"/>
        </w:rPr>
        <w:t>This Article seeks to complicate this understanding</w:t>
      </w:r>
      <w:r w:rsidR="00FE50FF">
        <w:rPr>
          <w:sz w:val="24"/>
          <w:szCs w:val="24"/>
          <w:lang w:val="en-US"/>
        </w:rPr>
        <w:t xml:space="preserve">. It draws </w:t>
      </w:r>
      <w:r w:rsidR="00211EE5" w:rsidRPr="00FD6B58">
        <w:rPr>
          <w:sz w:val="24"/>
          <w:szCs w:val="24"/>
          <w:lang w:val="en-US"/>
        </w:rPr>
        <w:t xml:space="preserve">attention to </w:t>
      </w:r>
      <w:r w:rsidR="00666C71">
        <w:rPr>
          <w:sz w:val="24"/>
          <w:szCs w:val="24"/>
          <w:lang w:val="en-US"/>
        </w:rPr>
        <w:t>considerable</w:t>
      </w:r>
      <w:r w:rsidR="00C859AF" w:rsidRPr="00FD6B58">
        <w:rPr>
          <w:sz w:val="24"/>
          <w:szCs w:val="24"/>
          <w:lang w:val="en-US"/>
        </w:rPr>
        <w:t xml:space="preserve">, but </w:t>
      </w:r>
      <w:r w:rsidR="00E4186B" w:rsidRPr="00FD6B58">
        <w:rPr>
          <w:sz w:val="24"/>
          <w:szCs w:val="24"/>
          <w:lang w:val="en-US"/>
        </w:rPr>
        <w:t xml:space="preserve">largely </w:t>
      </w:r>
      <w:r w:rsidR="00C859AF" w:rsidRPr="00FD6B58">
        <w:rPr>
          <w:sz w:val="24"/>
          <w:szCs w:val="24"/>
          <w:lang w:val="en-US"/>
        </w:rPr>
        <w:t>overlooked, divergences with respe</w:t>
      </w:r>
      <w:r w:rsidR="00A422F2" w:rsidRPr="00FD6B58">
        <w:rPr>
          <w:sz w:val="24"/>
          <w:szCs w:val="24"/>
          <w:lang w:val="en-US"/>
        </w:rPr>
        <w:t>ct to the scope and strength of the core defining elements of the corporate form in Brazil</w:t>
      </w:r>
      <w:r w:rsidR="00CA2EED">
        <w:rPr>
          <w:sz w:val="24"/>
          <w:szCs w:val="24"/>
          <w:lang w:val="en-US"/>
        </w:rPr>
        <w:t>—the largest emerging economy of the West</w:t>
      </w:r>
      <w:r w:rsidR="00A422F2" w:rsidRPr="00FD6B58">
        <w:rPr>
          <w:sz w:val="24"/>
          <w:szCs w:val="24"/>
          <w:lang w:val="en-US"/>
        </w:rPr>
        <w:t xml:space="preserve">. </w:t>
      </w:r>
      <w:r w:rsidR="005E73A3">
        <w:rPr>
          <w:sz w:val="24"/>
          <w:szCs w:val="24"/>
          <w:lang w:val="en-US"/>
        </w:rPr>
        <w:t xml:space="preserve">This means </w:t>
      </w:r>
      <w:r w:rsidR="005F0C97">
        <w:rPr>
          <w:sz w:val="24"/>
          <w:szCs w:val="24"/>
          <w:lang w:val="en-US"/>
        </w:rPr>
        <w:t>that</w:t>
      </w:r>
      <w:r w:rsidR="00281183" w:rsidRPr="00FD6B58">
        <w:rPr>
          <w:sz w:val="24"/>
          <w:szCs w:val="24"/>
          <w:lang w:val="en-US"/>
        </w:rPr>
        <w:t xml:space="preserve">, beyond important differences in the content of corporate law and the protection it affords to investors, the </w:t>
      </w:r>
      <w:r w:rsidR="008C6B38">
        <w:rPr>
          <w:sz w:val="24"/>
          <w:szCs w:val="24"/>
          <w:lang w:val="en-US"/>
        </w:rPr>
        <w:t xml:space="preserve">existing </w:t>
      </w:r>
      <w:r w:rsidR="006F1AAE">
        <w:rPr>
          <w:sz w:val="24"/>
          <w:szCs w:val="24"/>
          <w:lang w:val="en-US"/>
        </w:rPr>
        <w:t>wedge</w:t>
      </w:r>
      <w:r w:rsidR="00FE50FF">
        <w:rPr>
          <w:sz w:val="24"/>
          <w:szCs w:val="24"/>
          <w:lang w:val="en-US"/>
        </w:rPr>
        <w:t xml:space="preserve"> </w:t>
      </w:r>
      <w:r w:rsidR="0084294F">
        <w:rPr>
          <w:sz w:val="24"/>
          <w:szCs w:val="24"/>
          <w:lang w:val="en-US"/>
        </w:rPr>
        <w:t>can be</w:t>
      </w:r>
      <w:r w:rsidR="00FE50FF">
        <w:rPr>
          <w:sz w:val="24"/>
          <w:szCs w:val="24"/>
          <w:lang w:val="en-US"/>
        </w:rPr>
        <w:t xml:space="preserve"> more profound. </w:t>
      </w:r>
      <w:r w:rsidR="00281183" w:rsidRPr="00FD6B58">
        <w:rPr>
          <w:sz w:val="24"/>
          <w:szCs w:val="24"/>
          <w:lang w:val="en-US"/>
        </w:rPr>
        <w:t xml:space="preserve"> </w:t>
      </w:r>
    </w:p>
    <w:p w:rsidR="0088788A" w:rsidRDefault="00FE50FF" w:rsidP="005E73A3">
      <w:pPr>
        <w:ind w:firstLine="708"/>
        <w:jc w:val="both"/>
        <w:rPr>
          <w:sz w:val="24"/>
          <w:szCs w:val="24"/>
          <w:lang w:val="en-US"/>
        </w:rPr>
      </w:pPr>
      <w:r>
        <w:rPr>
          <w:sz w:val="24"/>
          <w:szCs w:val="24"/>
          <w:lang w:val="en-US"/>
        </w:rPr>
        <w:t>T</w:t>
      </w:r>
      <w:r w:rsidR="00281183" w:rsidRPr="00FD6B58">
        <w:rPr>
          <w:sz w:val="24"/>
          <w:szCs w:val="24"/>
          <w:lang w:val="en-US"/>
        </w:rPr>
        <w:t xml:space="preserve">he Brazilian version of the business corporation (the </w:t>
      </w:r>
      <w:proofErr w:type="spellStart"/>
      <w:r w:rsidR="00281183" w:rsidRPr="00FD6B58">
        <w:rPr>
          <w:i/>
          <w:sz w:val="24"/>
          <w:szCs w:val="24"/>
          <w:lang w:val="en-US"/>
        </w:rPr>
        <w:t>sociedade</w:t>
      </w:r>
      <w:proofErr w:type="spellEnd"/>
      <w:r w:rsidR="00281183" w:rsidRPr="00FD6B58">
        <w:rPr>
          <w:i/>
          <w:sz w:val="24"/>
          <w:szCs w:val="24"/>
          <w:lang w:val="en-US"/>
        </w:rPr>
        <w:t xml:space="preserve"> </w:t>
      </w:r>
      <w:proofErr w:type="spellStart"/>
      <w:r w:rsidR="00281183" w:rsidRPr="00FD6B58">
        <w:rPr>
          <w:i/>
          <w:sz w:val="24"/>
          <w:szCs w:val="24"/>
          <w:lang w:val="en-US"/>
        </w:rPr>
        <w:t>anônima</w:t>
      </w:r>
      <w:proofErr w:type="spellEnd"/>
      <w:r w:rsidR="00281183" w:rsidRPr="00FD6B58">
        <w:rPr>
          <w:sz w:val="24"/>
          <w:szCs w:val="24"/>
          <w:lang w:val="en-US"/>
        </w:rPr>
        <w:t xml:space="preserve"> </w:t>
      </w:r>
      <w:r w:rsidR="0040207D" w:rsidRPr="00FD6B58">
        <w:rPr>
          <w:sz w:val="24"/>
          <w:szCs w:val="24"/>
          <w:lang w:val="en-US"/>
        </w:rPr>
        <w:t xml:space="preserve">or </w:t>
      </w:r>
      <w:r w:rsidR="0040207D" w:rsidRPr="00FD6B58">
        <w:rPr>
          <w:i/>
          <w:sz w:val="24"/>
          <w:szCs w:val="24"/>
          <w:lang w:val="en-US"/>
        </w:rPr>
        <w:t>S.A.</w:t>
      </w:r>
      <w:r w:rsidR="00791A7D">
        <w:rPr>
          <w:sz w:val="24"/>
          <w:szCs w:val="24"/>
          <w:lang w:val="en-US"/>
        </w:rPr>
        <w:t>) is</w:t>
      </w:r>
      <w:r>
        <w:rPr>
          <w:sz w:val="24"/>
          <w:szCs w:val="24"/>
          <w:lang w:val="en-US"/>
        </w:rPr>
        <w:t>, in its current form,</w:t>
      </w:r>
      <w:r w:rsidR="00791A7D">
        <w:rPr>
          <w:sz w:val="24"/>
          <w:szCs w:val="24"/>
          <w:lang w:val="en-US"/>
        </w:rPr>
        <w:t xml:space="preserve"> not as “corporatized” as conventional </w:t>
      </w:r>
      <w:r w:rsidR="00346542">
        <w:rPr>
          <w:sz w:val="24"/>
          <w:szCs w:val="24"/>
          <w:lang w:val="en-US"/>
        </w:rPr>
        <w:t>unde</w:t>
      </w:r>
      <w:r w:rsidR="002A2B9C">
        <w:rPr>
          <w:sz w:val="24"/>
          <w:szCs w:val="24"/>
          <w:lang w:val="en-US"/>
        </w:rPr>
        <w:t>r</w:t>
      </w:r>
      <w:r w:rsidR="00346542">
        <w:rPr>
          <w:sz w:val="24"/>
          <w:szCs w:val="24"/>
          <w:lang w:val="en-US"/>
        </w:rPr>
        <w:t>standings</w:t>
      </w:r>
      <w:r w:rsidR="00791A7D">
        <w:rPr>
          <w:sz w:val="24"/>
          <w:szCs w:val="24"/>
          <w:lang w:val="en-US"/>
        </w:rPr>
        <w:t xml:space="preserve"> </w:t>
      </w:r>
      <w:r w:rsidR="00E85D7D" w:rsidRPr="00FD6B58">
        <w:rPr>
          <w:sz w:val="24"/>
          <w:szCs w:val="24"/>
          <w:lang w:val="en-US"/>
        </w:rPr>
        <w:t xml:space="preserve">would imply. </w:t>
      </w:r>
      <w:r w:rsidR="00EC7530">
        <w:rPr>
          <w:sz w:val="24"/>
          <w:szCs w:val="24"/>
          <w:lang w:val="en-US"/>
        </w:rPr>
        <w:t xml:space="preserve">Whereas </w:t>
      </w:r>
      <w:r w:rsidR="00BE3F2E">
        <w:rPr>
          <w:sz w:val="24"/>
          <w:szCs w:val="24"/>
          <w:lang w:val="en-US"/>
        </w:rPr>
        <w:t xml:space="preserve">most </w:t>
      </w:r>
      <w:r w:rsidR="00EC7530">
        <w:rPr>
          <w:sz w:val="24"/>
          <w:szCs w:val="24"/>
          <w:lang w:val="en-US"/>
        </w:rPr>
        <w:t xml:space="preserve">analyses focus on the glass </w:t>
      </w:r>
      <w:proofErr w:type="gramStart"/>
      <w:r w:rsidR="00EC7530">
        <w:rPr>
          <w:sz w:val="24"/>
          <w:szCs w:val="24"/>
          <w:lang w:val="en-US"/>
        </w:rPr>
        <w:t>half full</w:t>
      </w:r>
      <w:proofErr w:type="gramEnd"/>
      <w:r w:rsidR="00EC7530">
        <w:rPr>
          <w:sz w:val="24"/>
          <w:szCs w:val="24"/>
          <w:lang w:val="en-US"/>
        </w:rPr>
        <w:t xml:space="preserve"> </w:t>
      </w:r>
      <w:r w:rsidR="00215F47">
        <w:rPr>
          <w:sz w:val="24"/>
          <w:szCs w:val="24"/>
          <w:lang w:val="en-US"/>
        </w:rPr>
        <w:t>in asserting the universality of the business cor</w:t>
      </w:r>
      <w:r w:rsidR="006F77BA">
        <w:rPr>
          <w:sz w:val="24"/>
          <w:szCs w:val="24"/>
          <w:lang w:val="en-US"/>
        </w:rPr>
        <w:t>p</w:t>
      </w:r>
      <w:r w:rsidR="00215F47">
        <w:rPr>
          <w:sz w:val="24"/>
          <w:szCs w:val="24"/>
          <w:lang w:val="en-US"/>
        </w:rPr>
        <w:t>oration</w:t>
      </w:r>
      <w:r w:rsidR="00EC7530">
        <w:rPr>
          <w:sz w:val="24"/>
          <w:szCs w:val="24"/>
          <w:lang w:val="en-US"/>
        </w:rPr>
        <w:t>,</w:t>
      </w:r>
      <w:r w:rsidR="006F77BA">
        <w:rPr>
          <w:rStyle w:val="Refdenotaderodap"/>
          <w:sz w:val="24"/>
          <w:szCs w:val="24"/>
          <w:lang w:val="en-US"/>
        </w:rPr>
        <w:footnoteReference w:id="7"/>
      </w:r>
      <w:r w:rsidR="00EC7530">
        <w:rPr>
          <w:sz w:val="24"/>
          <w:szCs w:val="24"/>
          <w:lang w:val="en-US"/>
        </w:rPr>
        <w:t xml:space="preserve"> I here explore the view of the glass half empty. </w:t>
      </w:r>
      <w:r w:rsidR="007B241C">
        <w:rPr>
          <w:sz w:val="24"/>
          <w:szCs w:val="24"/>
          <w:lang w:val="en-US"/>
        </w:rPr>
        <w:t>Specifically, w</w:t>
      </w:r>
      <w:r w:rsidR="007B241C" w:rsidRPr="00FD6B58">
        <w:rPr>
          <w:sz w:val="24"/>
          <w:szCs w:val="24"/>
          <w:lang w:val="en-US"/>
        </w:rPr>
        <w:t xml:space="preserve">hile the Brazilian S.A. formally presents the five </w:t>
      </w:r>
      <w:r w:rsidR="007B241C">
        <w:rPr>
          <w:sz w:val="24"/>
          <w:szCs w:val="24"/>
          <w:lang w:val="en-US"/>
        </w:rPr>
        <w:t xml:space="preserve">canonical </w:t>
      </w:r>
      <w:r w:rsidR="007B241C" w:rsidRPr="00FD6B58">
        <w:rPr>
          <w:sz w:val="24"/>
          <w:szCs w:val="24"/>
          <w:lang w:val="en-US"/>
        </w:rPr>
        <w:t xml:space="preserve">elements of the </w:t>
      </w:r>
      <w:r w:rsidR="007B241C">
        <w:rPr>
          <w:sz w:val="24"/>
          <w:szCs w:val="24"/>
          <w:lang w:val="en-US"/>
        </w:rPr>
        <w:t>business corporation described above</w:t>
      </w:r>
      <w:r w:rsidR="007B241C" w:rsidRPr="00FD6B58">
        <w:rPr>
          <w:sz w:val="24"/>
          <w:szCs w:val="24"/>
          <w:lang w:val="en-US"/>
        </w:rPr>
        <w:t xml:space="preserve">, </w:t>
      </w:r>
      <w:r w:rsidR="007B241C">
        <w:rPr>
          <w:sz w:val="24"/>
          <w:szCs w:val="24"/>
          <w:lang w:val="en-US"/>
        </w:rPr>
        <w:t xml:space="preserve">all of them </w:t>
      </w:r>
      <w:r w:rsidR="007B241C" w:rsidRPr="00FD6B58">
        <w:rPr>
          <w:sz w:val="24"/>
          <w:szCs w:val="24"/>
          <w:lang w:val="en-US"/>
        </w:rPr>
        <w:t xml:space="preserve">take a much watered-down form, </w:t>
      </w:r>
      <w:r w:rsidR="007B241C">
        <w:rPr>
          <w:sz w:val="24"/>
          <w:szCs w:val="24"/>
          <w:lang w:val="en-US"/>
        </w:rPr>
        <w:t>with potentially significant practical implications</w:t>
      </w:r>
      <w:r w:rsidR="007B241C" w:rsidRPr="00FD6B58">
        <w:rPr>
          <w:sz w:val="24"/>
          <w:szCs w:val="24"/>
          <w:lang w:val="en-US"/>
        </w:rPr>
        <w:t>.</w:t>
      </w:r>
    </w:p>
    <w:p w:rsidR="00D27EC1" w:rsidRPr="00FD6B58" w:rsidRDefault="00895225" w:rsidP="005E73A3">
      <w:pPr>
        <w:ind w:firstLine="708"/>
        <w:jc w:val="both"/>
        <w:rPr>
          <w:sz w:val="24"/>
          <w:szCs w:val="24"/>
          <w:lang w:val="en-US"/>
        </w:rPr>
      </w:pPr>
      <w:r>
        <w:rPr>
          <w:sz w:val="24"/>
          <w:szCs w:val="24"/>
          <w:lang w:val="en-US"/>
        </w:rPr>
        <w:lastRenderedPageBreak/>
        <w:t xml:space="preserve">First, </w:t>
      </w:r>
      <w:proofErr w:type="gramStart"/>
      <w:r>
        <w:rPr>
          <w:sz w:val="24"/>
          <w:szCs w:val="24"/>
          <w:lang w:val="en-US"/>
        </w:rPr>
        <w:t>closely-held</w:t>
      </w:r>
      <w:proofErr w:type="gramEnd"/>
      <w:r>
        <w:rPr>
          <w:sz w:val="24"/>
          <w:szCs w:val="24"/>
          <w:lang w:val="en-US"/>
        </w:rPr>
        <w:t xml:space="preserve"> corporations</w:t>
      </w:r>
      <w:r w:rsidR="00DC4143">
        <w:rPr>
          <w:sz w:val="24"/>
          <w:szCs w:val="24"/>
          <w:lang w:val="en-US"/>
        </w:rPr>
        <w:t xml:space="preserve"> in Brazil no longer provide for a strong form of separation between </w:t>
      </w:r>
      <w:r w:rsidR="007B241C">
        <w:rPr>
          <w:sz w:val="24"/>
          <w:szCs w:val="24"/>
          <w:lang w:val="en-US"/>
        </w:rPr>
        <w:t xml:space="preserve">the assets of the corporation and </w:t>
      </w:r>
      <w:r w:rsidR="009D05AE">
        <w:rPr>
          <w:sz w:val="24"/>
          <w:szCs w:val="24"/>
          <w:lang w:val="en-US"/>
        </w:rPr>
        <w:t xml:space="preserve">of </w:t>
      </w:r>
      <w:r w:rsidR="007B241C">
        <w:rPr>
          <w:sz w:val="24"/>
          <w:szCs w:val="24"/>
          <w:lang w:val="en-US"/>
        </w:rPr>
        <w:t>its shareholders</w:t>
      </w:r>
      <w:r w:rsidR="00DC4143">
        <w:rPr>
          <w:sz w:val="24"/>
          <w:szCs w:val="24"/>
          <w:lang w:val="en-US"/>
        </w:rPr>
        <w:t xml:space="preserve">—what </w:t>
      </w:r>
      <w:r w:rsidR="002E0022">
        <w:rPr>
          <w:sz w:val="24"/>
          <w:szCs w:val="24"/>
          <w:lang w:val="en-US"/>
        </w:rPr>
        <w:t>sc</w:t>
      </w:r>
      <w:r w:rsidR="007B241C">
        <w:rPr>
          <w:sz w:val="24"/>
          <w:szCs w:val="24"/>
          <w:lang w:val="en-US"/>
        </w:rPr>
        <w:t>holars have termed “capital lock-</w:t>
      </w:r>
      <w:r w:rsidR="002E0022">
        <w:rPr>
          <w:sz w:val="24"/>
          <w:szCs w:val="24"/>
          <w:lang w:val="en-US"/>
        </w:rPr>
        <w:t>in” or “strong entity shielding</w:t>
      </w:r>
      <w:r>
        <w:rPr>
          <w:sz w:val="24"/>
          <w:szCs w:val="24"/>
          <w:lang w:val="en-US"/>
        </w:rPr>
        <w:t>.</w:t>
      </w:r>
      <w:r w:rsidR="002E0022">
        <w:rPr>
          <w:sz w:val="24"/>
          <w:szCs w:val="24"/>
          <w:lang w:val="en-US"/>
        </w:rPr>
        <w:t>”</w:t>
      </w:r>
      <w:r>
        <w:rPr>
          <w:sz w:val="24"/>
          <w:szCs w:val="24"/>
          <w:lang w:val="en-US"/>
        </w:rPr>
        <w:t xml:space="preserve"> Despite the initial absence of statutory authorization, Brazilian courts have </w:t>
      </w:r>
      <w:r w:rsidR="002E0022">
        <w:rPr>
          <w:sz w:val="24"/>
          <w:szCs w:val="24"/>
          <w:lang w:val="en-US"/>
        </w:rPr>
        <w:t xml:space="preserve">granted minority shareholders the right </w:t>
      </w:r>
      <w:r>
        <w:rPr>
          <w:sz w:val="24"/>
          <w:szCs w:val="24"/>
          <w:lang w:val="en-US"/>
        </w:rPr>
        <w:t xml:space="preserve">to withdraw at will by seeking a partial </w:t>
      </w:r>
      <w:r w:rsidR="002E0022">
        <w:rPr>
          <w:sz w:val="24"/>
          <w:szCs w:val="24"/>
          <w:lang w:val="en-US"/>
        </w:rPr>
        <w:t xml:space="preserve">dissolution of the firm. Second, through a combination of statutory </w:t>
      </w:r>
      <w:r w:rsidR="007B241C">
        <w:rPr>
          <w:sz w:val="24"/>
          <w:szCs w:val="24"/>
          <w:lang w:val="en-US"/>
        </w:rPr>
        <w:t>and case</w:t>
      </w:r>
      <w:r w:rsidR="00583C09">
        <w:rPr>
          <w:sz w:val="24"/>
          <w:szCs w:val="24"/>
          <w:lang w:val="en-US"/>
        </w:rPr>
        <w:t xml:space="preserve"> </w:t>
      </w:r>
      <w:r w:rsidR="007B241C">
        <w:rPr>
          <w:sz w:val="24"/>
          <w:szCs w:val="24"/>
          <w:lang w:val="en-US"/>
        </w:rPr>
        <w:t>law</w:t>
      </w:r>
      <w:r w:rsidR="002E0022">
        <w:rPr>
          <w:sz w:val="24"/>
          <w:szCs w:val="24"/>
          <w:lang w:val="en-US"/>
        </w:rPr>
        <w:t>, Brazil has significantly eroded, if not eliminated, the attribute of limited liability in a variety of contexts</w:t>
      </w:r>
      <w:r w:rsidR="00583C09">
        <w:rPr>
          <w:sz w:val="24"/>
          <w:szCs w:val="24"/>
          <w:lang w:val="en-US"/>
        </w:rPr>
        <w:t>,</w:t>
      </w:r>
      <w:r w:rsidR="002E0022">
        <w:rPr>
          <w:sz w:val="24"/>
          <w:szCs w:val="24"/>
          <w:lang w:val="en-US"/>
        </w:rPr>
        <w:t xml:space="preserve"> ranging from labor and environmental law to consumer </w:t>
      </w:r>
      <w:r w:rsidR="007B241C">
        <w:rPr>
          <w:sz w:val="24"/>
          <w:szCs w:val="24"/>
          <w:lang w:val="en-US"/>
        </w:rPr>
        <w:t>protection</w:t>
      </w:r>
      <w:r w:rsidR="002E0022">
        <w:rPr>
          <w:sz w:val="24"/>
          <w:szCs w:val="24"/>
          <w:lang w:val="en-US"/>
        </w:rPr>
        <w:t xml:space="preserve"> and the failure of financial institutions. Third, the </w:t>
      </w:r>
      <w:r w:rsidR="00583C09">
        <w:rPr>
          <w:sz w:val="24"/>
          <w:szCs w:val="24"/>
          <w:lang w:val="en-US"/>
        </w:rPr>
        <w:t>element of delegated management to</w:t>
      </w:r>
      <w:r w:rsidR="005A31D8">
        <w:rPr>
          <w:sz w:val="24"/>
          <w:szCs w:val="24"/>
          <w:lang w:val="en-US"/>
        </w:rPr>
        <w:t xml:space="preserve"> a board of directors looks </w:t>
      </w:r>
      <w:r w:rsidR="00583C09">
        <w:rPr>
          <w:sz w:val="24"/>
          <w:szCs w:val="24"/>
          <w:lang w:val="en-US"/>
        </w:rPr>
        <w:t>quite frail</w:t>
      </w:r>
      <w:r w:rsidR="002E0022">
        <w:rPr>
          <w:sz w:val="24"/>
          <w:szCs w:val="24"/>
          <w:lang w:val="en-US"/>
        </w:rPr>
        <w:t xml:space="preserve"> from a comparative perspective, as </w:t>
      </w:r>
      <w:r w:rsidR="005A31D8">
        <w:rPr>
          <w:sz w:val="24"/>
          <w:szCs w:val="24"/>
          <w:lang w:val="en-US"/>
        </w:rPr>
        <w:t>shareholders enjoy an unusual amount of power</w:t>
      </w:r>
      <w:r w:rsidR="002E0022">
        <w:rPr>
          <w:sz w:val="24"/>
          <w:szCs w:val="24"/>
          <w:lang w:val="en-US"/>
        </w:rPr>
        <w:t xml:space="preserve">. </w:t>
      </w:r>
      <w:r w:rsidR="00F46F00">
        <w:rPr>
          <w:sz w:val="24"/>
          <w:szCs w:val="24"/>
          <w:lang w:val="en-US"/>
        </w:rPr>
        <w:t xml:space="preserve">Fourth, the attribute of share transferability has suffered through a combination of specific statutory rules, practical constraints, and the erosion of limited liability. Fifth, and finally, investor ownership is far from the only paradigm for corporate enterprise in Brazil, given the </w:t>
      </w:r>
      <w:r w:rsidR="005A31D8">
        <w:rPr>
          <w:sz w:val="24"/>
          <w:szCs w:val="24"/>
          <w:lang w:val="en-US"/>
        </w:rPr>
        <w:t>prevalence of state ownership</w:t>
      </w:r>
      <w:r w:rsidR="00776023">
        <w:rPr>
          <w:sz w:val="24"/>
          <w:szCs w:val="24"/>
          <w:lang w:val="en-US"/>
        </w:rPr>
        <w:t xml:space="preserve"> of business corporations</w:t>
      </w:r>
      <w:r w:rsidR="00F926B8">
        <w:rPr>
          <w:sz w:val="24"/>
          <w:szCs w:val="24"/>
          <w:lang w:val="en-US"/>
        </w:rPr>
        <w:t xml:space="preserve">. </w:t>
      </w:r>
    </w:p>
    <w:p w:rsidR="00574CC2" w:rsidRDefault="002E0022" w:rsidP="00260800">
      <w:pPr>
        <w:ind w:firstLine="708"/>
        <w:jc w:val="both"/>
        <w:rPr>
          <w:sz w:val="24"/>
          <w:szCs w:val="24"/>
          <w:lang w:val="en-US"/>
        </w:rPr>
      </w:pPr>
      <w:r>
        <w:rPr>
          <w:sz w:val="24"/>
          <w:szCs w:val="24"/>
          <w:lang w:val="en-US"/>
        </w:rPr>
        <w:t xml:space="preserve">This argument about </w:t>
      </w:r>
      <w:r w:rsidR="00423BE4">
        <w:rPr>
          <w:sz w:val="24"/>
          <w:szCs w:val="24"/>
          <w:lang w:val="en-US"/>
        </w:rPr>
        <w:t xml:space="preserve">the observed </w:t>
      </w:r>
      <w:r>
        <w:rPr>
          <w:sz w:val="24"/>
          <w:szCs w:val="24"/>
          <w:lang w:val="en-US"/>
        </w:rPr>
        <w:t>“</w:t>
      </w:r>
      <w:proofErr w:type="spellStart"/>
      <w:r>
        <w:rPr>
          <w:sz w:val="24"/>
          <w:szCs w:val="24"/>
          <w:lang w:val="en-US"/>
        </w:rPr>
        <w:t>decorporatization</w:t>
      </w:r>
      <w:proofErr w:type="spellEnd"/>
      <w:r>
        <w:rPr>
          <w:sz w:val="24"/>
          <w:szCs w:val="24"/>
          <w:lang w:val="en-US"/>
        </w:rPr>
        <w:t>”</w:t>
      </w:r>
      <w:r w:rsidR="00B31BF8">
        <w:rPr>
          <w:sz w:val="24"/>
          <w:szCs w:val="24"/>
          <w:lang w:val="en-US"/>
        </w:rPr>
        <w:t xml:space="preserve"> </w:t>
      </w:r>
      <w:r>
        <w:rPr>
          <w:sz w:val="24"/>
          <w:szCs w:val="24"/>
          <w:lang w:val="en-US"/>
        </w:rPr>
        <w:t xml:space="preserve">in Brazil </w:t>
      </w:r>
      <w:r w:rsidR="00BB7738">
        <w:rPr>
          <w:sz w:val="24"/>
          <w:szCs w:val="24"/>
          <w:lang w:val="en-US"/>
        </w:rPr>
        <w:t>relates to</w:t>
      </w:r>
      <w:r w:rsidR="009A6974">
        <w:rPr>
          <w:sz w:val="24"/>
          <w:szCs w:val="24"/>
          <w:lang w:val="en-US"/>
        </w:rPr>
        <w:t>,</w:t>
      </w:r>
      <w:r w:rsidR="00BB7738">
        <w:rPr>
          <w:sz w:val="24"/>
          <w:szCs w:val="24"/>
          <w:lang w:val="en-US"/>
        </w:rPr>
        <w:t xml:space="preserve"> but diffe</w:t>
      </w:r>
      <w:r w:rsidR="00BF741A">
        <w:rPr>
          <w:sz w:val="24"/>
          <w:szCs w:val="24"/>
          <w:lang w:val="en-US"/>
        </w:rPr>
        <w:t>r</w:t>
      </w:r>
      <w:r w:rsidR="00BB7738">
        <w:rPr>
          <w:sz w:val="24"/>
          <w:szCs w:val="24"/>
          <w:lang w:val="en-US"/>
        </w:rPr>
        <w:t>s from</w:t>
      </w:r>
      <w:r w:rsidR="009A6974">
        <w:rPr>
          <w:sz w:val="24"/>
          <w:szCs w:val="24"/>
          <w:lang w:val="en-US"/>
        </w:rPr>
        <w:t>,</w:t>
      </w:r>
      <w:r w:rsidR="009C7648" w:rsidRPr="00FD6B58">
        <w:rPr>
          <w:sz w:val="24"/>
          <w:szCs w:val="24"/>
          <w:lang w:val="en-US"/>
        </w:rPr>
        <w:t xml:space="preserve"> </w:t>
      </w:r>
      <w:r w:rsidR="00F56812" w:rsidRPr="00FD6B58">
        <w:rPr>
          <w:sz w:val="24"/>
          <w:szCs w:val="24"/>
          <w:lang w:val="en-US"/>
        </w:rPr>
        <w:t xml:space="preserve">the </w:t>
      </w:r>
      <w:r w:rsidR="00722D22" w:rsidRPr="00FD6B58">
        <w:rPr>
          <w:sz w:val="24"/>
          <w:szCs w:val="24"/>
          <w:lang w:val="en-US"/>
        </w:rPr>
        <w:t>line of works seeking to “put the corporation in its place”</w:t>
      </w:r>
      <w:r w:rsidR="006E4344">
        <w:rPr>
          <w:sz w:val="24"/>
          <w:szCs w:val="24"/>
          <w:lang w:val="en-US"/>
        </w:rPr>
        <w:t xml:space="preserve"> by </w:t>
      </w:r>
      <w:r w:rsidR="00140484" w:rsidRPr="00FD6B58">
        <w:rPr>
          <w:sz w:val="24"/>
          <w:szCs w:val="24"/>
          <w:lang w:val="en-US"/>
        </w:rPr>
        <w:t xml:space="preserve">emphasizing the historical prevalence of other </w:t>
      </w:r>
      <w:r w:rsidR="0084294F">
        <w:rPr>
          <w:sz w:val="24"/>
          <w:szCs w:val="24"/>
          <w:lang w:val="en-US"/>
        </w:rPr>
        <w:t xml:space="preserve">types of </w:t>
      </w:r>
      <w:r w:rsidR="009C7648" w:rsidRPr="00FD6B58">
        <w:rPr>
          <w:sz w:val="24"/>
          <w:szCs w:val="24"/>
          <w:lang w:val="en-US"/>
        </w:rPr>
        <w:t xml:space="preserve">business </w:t>
      </w:r>
      <w:r w:rsidR="0074383F" w:rsidRPr="00FD6B58">
        <w:rPr>
          <w:sz w:val="24"/>
          <w:szCs w:val="24"/>
          <w:lang w:val="en-US"/>
        </w:rPr>
        <w:t>entities</w:t>
      </w:r>
      <w:r w:rsidR="00140484" w:rsidRPr="00FD6B58">
        <w:rPr>
          <w:sz w:val="24"/>
          <w:szCs w:val="24"/>
          <w:lang w:val="en-US"/>
        </w:rPr>
        <w:t>, especially in civil law jurisdictions,</w:t>
      </w:r>
      <w:bookmarkStart w:id="1" w:name="_Ref451523796"/>
      <w:r w:rsidR="008A25AF" w:rsidRPr="00FD6B58">
        <w:rPr>
          <w:rStyle w:val="Refdenotaderodap"/>
          <w:sz w:val="24"/>
          <w:szCs w:val="24"/>
          <w:lang w:val="en-US"/>
        </w:rPr>
        <w:footnoteReference w:id="8"/>
      </w:r>
      <w:bookmarkEnd w:id="1"/>
      <w:r w:rsidR="00140484" w:rsidRPr="00FD6B58">
        <w:rPr>
          <w:sz w:val="24"/>
          <w:szCs w:val="24"/>
          <w:lang w:val="en-US"/>
        </w:rPr>
        <w:t xml:space="preserve"> or by </w:t>
      </w:r>
      <w:r w:rsidR="000D560C" w:rsidRPr="00FD6B58">
        <w:rPr>
          <w:sz w:val="24"/>
          <w:szCs w:val="24"/>
          <w:lang w:val="en-US"/>
        </w:rPr>
        <w:t>hailing</w:t>
      </w:r>
      <w:r w:rsidR="0074383F" w:rsidRPr="00FD6B58">
        <w:rPr>
          <w:sz w:val="24"/>
          <w:szCs w:val="24"/>
          <w:lang w:val="en-US"/>
        </w:rPr>
        <w:t xml:space="preserve"> </w:t>
      </w:r>
      <w:r w:rsidR="004646C2" w:rsidRPr="00FD6B58">
        <w:rPr>
          <w:sz w:val="24"/>
          <w:szCs w:val="24"/>
          <w:lang w:val="en-US"/>
        </w:rPr>
        <w:t xml:space="preserve">the </w:t>
      </w:r>
      <w:r w:rsidR="008A25AF" w:rsidRPr="00FD6B58">
        <w:rPr>
          <w:sz w:val="24"/>
          <w:szCs w:val="24"/>
          <w:lang w:val="en-US"/>
        </w:rPr>
        <w:t xml:space="preserve">broad </w:t>
      </w:r>
      <w:r w:rsidR="004646C2" w:rsidRPr="00FD6B58">
        <w:rPr>
          <w:sz w:val="24"/>
          <w:szCs w:val="24"/>
          <w:lang w:val="en-US"/>
        </w:rPr>
        <w:t>rise of “</w:t>
      </w:r>
      <w:proofErr w:type="spellStart"/>
      <w:r w:rsidR="004646C2" w:rsidRPr="00FD6B58">
        <w:rPr>
          <w:sz w:val="24"/>
          <w:szCs w:val="24"/>
          <w:lang w:val="en-US"/>
        </w:rPr>
        <w:t>uncorporate</w:t>
      </w:r>
      <w:proofErr w:type="spellEnd"/>
      <w:r w:rsidR="004646C2" w:rsidRPr="00FD6B58">
        <w:rPr>
          <w:sz w:val="24"/>
          <w:szCs w:val="24"/>
          <w:lang w:val="en-US"/>
        </w:rPr>
        <w:t>” forms of organization in recent times.</w:t>
      </w:r>
      <w:r w:rsidR="00130E5D" w:rsidRPr="00FD6B58">
        <w:rPr>
          <w:rStyle w:val="Refdenotaderodap"/>
          <w:sz w:val="24"/>
          <w:szCs w:val="24"/>
          <w:lang w:val="en-US"/>
        </w:rPr>
        <w:footnoteReference w:id="9"/>
      </w:r>
      <w:r w:rsidR="004646C2" w:rsidRPr="00FD6B58">
        <w:rPr>
          <w:sz w:val="24"/>
          <w:szCs w:val="24"/>
          <w:lang w:val="en-US"/>
        </w:rPr>
        <w:t xml:space="preserve"> </w:t>
      </w:r>
      <w:r w:rsidR="00C9731B">
        <w:rPr>
          <w:sz w:val="24"/>
          <w:szCs w:val="24"/>
          <w:lang w:val="en-US"/>
        </w:rPr>
        <w:t>Brazil’s experience</w:t>
      </w:r>
      <w:r w:rsidR="005E73A3">
        <w:rPr>
          <w:sz w:val="24"/>
          <w:szCs w:val="24"/>
          <w:lang w:val="en-US"/>
        </w:rPr>
        <w:t xml:space="preserve"> generally supports</w:t>
      </w:r>
      <w:r w:rsidR="00E60D4C">
        <w:rPr>
          <w:sz w:val="24"/>
          <w:szCs w:val="24"/>
          <w:lang w:val="en-US"/>
        </w:rPr>
        <w:t xml:space="preserve"> these claims</w:t>
      </w:r>
      <w:r w:rsidR="006A0B84">
        <w:rPr>
          <w:sz w:val="24"/>
          <w:szCs w:val="24"/>
          <w:lang w:val="en-US"/>
        </w:rPr>
        <w:t>.</w:t>
      </w:r>
      <w:r w:rsidR="00346542">
        <w:rPr>
          <w:sz w:val="24"/>
          <w:szCs w:val="24"/>
          <w:lang w:val="en-US"/>
        </w:rPr>
        <w:t xml:space="preserve"> </w:t>
      </w:r>
      <w:r w:rsidR="006A0B84">
        <w:rPr>
          <w:sz w:val="24"/>
          <w:szCs w:val="24"/>
          <w:lang w:val="en-US"/>
        </w:rPr>
        <w:t>A</w:t>
      </w:r>
      <w:r w:rsidR="00E36A02" w:rsidRPr="00FD6B58">
        <w:rPr>
          <w:sz w:val="24"/>
          <w:szCs w:val="24"/>
          <w:lang w:val="en-US"/>
        </w:rPr>
        <w:t>s in other countries, b</w:t>
      </w:r>
      <w:r w:rsidR="00137BD0" w:rsidRPr="00FD6B58">
        <w:rPr>
          <w:sz w:val="24"/>
          <w:szCs w:val="24"/>
          <w:lang w:val="en-US"/>
        </w:rPr>
        <w:t>y far the</w:t>
      </w:r>
      <w:r w:rsidR="00A021A6" w:rsidRPr="00FD6B58">
        <w:rPr>
          <w:sz w:val="24"/>
          <w:szCs w:val="24"/>
          <w:lang w:val="en-US"/>
        </w:rPr>
        <w:t xml:space="preserve"> most popular form of business organization is the limited liability company (</w:t>
      </w:r>
      <w:proofErr w:type="spellStart"/>
      <w:r w:rsidR="00A021A6" w:rsidRPr="00FD6B58">
        <w:rPr>
          <w:i/>
          <w:sz w:val="24"/>
          <w:szCs w:val="24"/>
          <w:lang w:val="en-US"/>
        </w:rPr>
        <w:t>sociedade</w:t>
      </w:r>
      <w:proofErr w:type="spellEnd"/>
      <w:r w:rsidR="00A021A6" w:rsidRPr="00FD6B58">
        <w:rPr>
          <w:i/>
          <w:sz w:val="24"/>
          <w:szCs w:val="24"/>
          <w:lang w:val="en-US"/>
        </w:rPr>
        <w:t xml:space="preserve"> </w:t>
      </w:r>
      <w:proofErr w:type="spellStart"/>
      <w:r w:rsidR="00A021A6" w:rsidRPr="00FD6B58">
        <w:rPr>
          <w:i/>
          <w:sz w:val="24"/>
          <w:szCs w:val="24"/>
          <w:lang w:val="en-US"/>
        </w:rPr>
        <w:t>limitada</w:t>
      </w:r>
      <w:proofErr w:type="spellEnd"/>
      <w:r w:rsidR="00A021A6" w:rsidRPr="00FD6B58">
        <w:rPr>
          <w:i/>
          <w:sz w:val="24"/>
          <w:szCs w:val="24"/>
          <w:lang w:val="en-US"/>
        </w:rPr>
        <w:t xml:space="preserve"> </w:t>
      </w:r>
      <w:r w:rsidR="00A021A6" w:rsidRPr="00FD6B58">
        <w:rPr>
          <w:sz w:val="24"/>
          <w:szCs w:val="24"/>
          <w:lang w:val="en-US"/>
        </w:rPr>
        <w:t xml:space="preserve">or </w:t>
      </w:r>
      <w:r w:rsidR="00A021A6" w:rsidRPr="00FD6B58">
        <w:rPr>
          <w:i/>
          <w:sz w:val="24"/>
          <w:szCs w:val="24"/>
          <w:lang w:val="en-US"/>
        </w:rPr>
        <w:t>Ltda.</w:t>
      </w:r>
      <w:r w:rsidR="00A021A6" w:rsidRPr="00FD6B58">
        <w:rPr>
          <w:sz w:val="24"/>
          <w:szCs w:val="24"/>
          <w:lang w:val="en-US"/>
        </w:rPr>
        <w:t xml:space="preserve">), </w:t>
      </w:r>
      <w:r w:rsidR="00361F47" w:rsidRPr="00FD6B58">
        <w:rPr>
          <w:sz w:val="24"/>
          <w:szCs w:val="24"/>
          <w:lang w:val="en-US"/>
        </w:rPr>
        <w:t xml:space="preserve">which can be described as a special or partial corporate </w:t>
      </w:r>
      <w:r w:rsidR="00C91A2C" w:rsidRPr="00FD6B58">
        <w:rPr>
          <w:sz w:val="24"/>
          <w:szCs w:val="24"/>
          <w:lang w:val="en-US"/>
        </w:rPr>
        <w:t>form tai</w:t>
      </w:r>
      <w:bookmarkStart w:id="2" w:name="_Ref451523780"/>
      <w:r w:rsidR="00346542">
        <w:rPr>
          <w:sz w:val="24"/>
          <w:szCs w:val="24"/>
          <w:lang w:val="en-US"/>
        </w:rPr>
        <w:t xml:space="preserve">lored to </w:t>
      </w:r>
      <w:proofErr w:type="gramStart"/>
      <w:r w:rsidR="00346542">
        <w:rPr>
          <w:sz w:val="24"/>
          <w:szCs w:val="24"/>
          <w:lang w:val="en-US"/>
        </w:rPr>
        <w:t>closely-held</w:t>
      </w:r>
      <w:proofErr w:type="gramEnd"/>
      <w:r w:rsidR="00346542">
        <w:rPr>
          <w:sz w:val="24"/>
          <w:szCs w:val="24"/>
          <w:lang w:val="en-US"/>
        </w:rPr>
        <w:t xml:space="preserve"> companies.</w:t>
      </w:r>
      <w:r w:rsidR="00AD2F15" w:rsidRPr="00FD6B58">
        <w:rPr>
          <w:rStyle w:val="Refdenotaderodap"/>
          <w:sz w:val="24"/>
          <w:szCs w:val="24"/>
          <w:lang w:val="en-US"/>
        </w:rPr>
        <w:footnoteReference w:id="10"/>
      </w:r>
      <w:bookmarkEnd w:id="2"/>
      <w:r w:rsidR="00C91A2C" w:rsidRPr="00FD6B58">
        <w:rPr>
          <w:sz w:val="24"/>
          <w:szCs w:val="24"/>
          <w:lang w:val="en-US"/>
        </w:rPr>
        <w:t xml:space="preserve"> </w:t>
      </w:r>
      <w:r w:rsidR="00AD2F15" w:rsidRPr="00FD6B58">
        <w:rPr>
          <w:sz w:val="24"/>
          <w:szCs w:val="24"/>
          <w:lang w:val="en-US"/>
        </w:rPr>
        <w:t xml:space="preserve">Moreover, investment funds under Brazilian legislation </w:t>
      </w:r>
      <w:r w:rsidR="00D520D0" w:rsidRPr="00FD6B58">
        <w:rPr>
          <w:sz w:val="24"/>
          <w:szCs w:val="24"/>
          <w:lang w:val="en-US"/>
        </w:rPr>
        <w:t>take the form of</w:t>
      </w:r>
      <w:r w:rsidR="00AD2F15" w:rsidRPr="00FD6B58">
        <w:rPr>
          <w:sz w:val="24"/>
          <w:szCs w:val="24"/>
          <w:lang w:val="en-US"/>
        </w:rPr>
        <w:t xml:space="preserve"> </w:t>
      </w:r>
      <w:r w:rsidR="00AD2F15" w:rsidRPr="002A2B9C">
        <w:rPr>
          <w:sz w:val="24"/>
          <w:szCs w:val="24"/>
          <w:lang w:val="en-US"/>
        </w:rPr>
        <w:t xml:space="preserve">condominiums </w:t>
      </w:r>
      <w:r w:rsidR="00AD2F15" w:rsidRPr="00FD6B58">
        <w:rPr>
          <w:sz w:val="24"/>
          <w:szCs w:val="24"/>
          <w:lang w:val="en-US"/>
        </w:rPr>
        <w:t xml:space="preserve">and, as such, </w:t>
      </w:r>
      <w:r w:rsidR="00A8677E">
        <w:rPr>
          <w:sz w:val="24"/>
          <w:szCs w:val="24"/>
          <w:lang w:val="en-US"/>
        </w:rPr>
        <w:t xml:space="preserve">formally </w:t>
      </w:r>
      <w:r w:rsidR="00AD2F15" w:rsidRPr="00FD6B58">
        <w:rPr>
          <w:sz w:val="24"/>
          <w:szCs w:val="24"/>
          <w:lang w:val="en-US"/>
        </w:rPr>
        <w:t>lack legal personality.</w:t>
      </w:r>
      <w:r w:rsidR="0002525A">
        <w:rPr>
          <w:rStyle w:val="Refdenotaderodap"/>
          <w:sz w:val="24"/>
          <w:szCs w:val="24"/>
          <w:lang w:val="en-US"/>
        </w:rPr>
        <w:footnoteReference w:id="11"/>
      </w:r>
      <w:r w:rsidR="00AD2F15" w:rsidRPr="00FD6B58">
        <w:rPr>
          <w:sz w:val="24"/>
          <w:szCs w:val="24"/>
          <w:lang w:val="en-US"/>
        </w:rPr>
        <w:t xml:space="preserve"> </w:t>
      </w:r>
      <w:r w:rsidR="00346542">
        <w:rPr>
          <w:sz w:val="24"/>
          <w:szCs w:val="24"/>
          <w:lang w:val="en-US"/>
        </w:rPr>
        <w:t>Nevertheless, the</w:t>
      </w:r>
      <w:r w:rsidR="0066292B">
        <w:rPr>
          <w:sz w:val="24"/>
          <w:szCs w:val="24"/>
          <w:lang w:val="en-US"/>
        </w:rPr>
        <w:t xml:space="preserve"> fundamental </w:t>
      </w:r>
      <w:r w:rsidR="00ED6006" w:rsidRPr="00FD6B58">
        <w:rPr>
          <w:sz w:val="24"/>
          <w:szCs w:val="24"/>
          <w:lang w:val="en-US"/>
        </w:rPr>
        <w:t xml:space="preserve">point </w:t>
      </w:r>
      <w:r w:rsidR="00E92FC9">
        <w:rPr>
          <w:sz w:val="24"/>
          <w:szCs w:val="24"/>
          <w:lang w:val="en-US"/>
        </w:rPr>
        <w:t xml:space="preserve">here </w:t>
      </w:r>
      <w:r w:rsidR="006E4344">
        <w:rPr>
          <w:sz w:val="24"/>
          <w:szCs w:val="24"/>
          <w:lang w:val="en-US"/>
        </w:rPr>
        <w:t>is different and more profound</w:t>
      </w:r>
      <w:r w:rsidR="00E92FC9">
        <w:rPr>
          <w:sz w:val="24"/>
          <w:szCs w:val="24"/>
          <w:lang w:val="en-US"/>
        </w:rPr>
        <w:t xml:space="preserve">: </w:t>
      </w:r>
      <w:r w:rsidR="00346542">
        <w:rPr>
          <w:sz w:val="24"/>
          <w:szCs w:val="24"/>
          <w:lang w:val="en-US"/>
        </w:rPr>
        <w:t>even the S.A.—widely</w:t>
      </w:r>
      <w:r w:rsidR="00B77CA3" w:rsidRPr="00FD6B58">
        <w:rPr>
          <w:sz w:val="24"/>
          <w:szCs w:val="24"/>
          <w:lang w:val="en-US"/>
        </w:rPr>
        <w:t xml:space="preserve"> recognized</w:t>
      </w:r>
      <w:r w:rsidR="00ED6006" w:rsidRPr="00FD6B58">
        <w:rPr>
          <w:sz w:val="24"/>
          <w:szCs w:val="24"/>
          <w:lang w:val="en-US"/>
        </w:rPr>
        <w:t xml:space="preserve"> as the functional equivalent of the business corporation—</w:t>
      </w:r>
      <w:r w:rsidR="007C3845">
        <w:rPr>
          <w:sz w:val="24"/>
          <w:szCs w:val="24"/>
          <w:lang w:val="en-US"/>
        </w:rPr>
        <w:t>currently displays a</w:t>
      </w:r>
      <w:r w:rsidR="007D72EE">
        <w:rPr>
          <w:sz w:val="24"/>
          <w:szCs w:val="24"/>
          <w:lang w:val="en-US"/>
        </w:rPr>
        <w:t xml:space="preserve"> lower degree of </w:t>
      </w:r>
      <w:proofErr w:type="spellStart"/>
      <w:r w:rsidR="007D72EE">
        <w:rPr>
          <w:sz w:val="24"/>
          <w:szCs w:val="24"/>
          <w:lang w:val="en-US"/>
        </w:rPr>
        <w:t>corporateness</w:t>
      </w:r>
      <w:proofErr w:type="spellEnd"/>
      <w:r w:rsidR="007B560F">
        <w:rPr>
          <w:sz w:val="24"/>
          <w:szCs w:val="24"/>
          <w:lang w:val="en-US"/>
        </w:rPr>
        <w:t xml:space="preserve"> </w:t>
      </w:r>
      <w:r w:rsidR="00AB73DE" w:rsidRPr="00FD6B58">
        <w:rPr>
          <w:sz w:val="24"/>
          <w:szCs w:val="24"/>
          <w:lang w:val="en-US"/>
        </w:rPr>
        <w:t xml:space="preserve">than </w:t>
      </w:r>
      <w:r w:rsidR="009B5417" w:rsidRPr="00FD6B58">
        <w:rPr>
          <w:sz w:val="24"/>
          <w:szCs w:val="24"/>
          <w:lang w:val="en-US"/>
        </w:rPr>
        <w:t xml:space="preserve">one </w:t>
      </w:r>
      <w:r w:rsidR="00AB73DE" w:rsidRPr="00FD6B58">
        <w:rPr>
          <w:sz w:val="24"/>
          <w:szCs w:val="24"/>
          <w:lang w:val="en-US"/>
        </w:rPr>
        <w:t xml:space="preserve">would </w:t>
      </w:r>
      <w:r w:rsidR="00AB73DE" w:rsidRPr="00FD6B58">
        <w:rPr>
          <w:sz w:val="24"/>
          <w:szCs w:val="24"/>
          <w:lang w:val="en-US"/>
        </w:rPr>
        <w:lastRenderedPageBreak/>
        <w:t xml:space="preserve">assume from </w:t>
      </w:r>
      <w:r w:rsidR="00E92FC9">
        <w:rPr>
          <w:sz w:val="24"/>
          <w:szCs w:val="24"/>
          <w:lang w:val="en-US"/>
        </w:rPr>
        <w:t xml:space="preserve">both </w:t>
      </w:r>
      <w:r w:rsidR="00AB73DE" w:rsidRPr="00FD6B58">
        <w:rPr>
          <w:sz w:val="24"/>
          <w:szCs w:val="24"/>
          <w:lang w:val="en-US"/>
        </w:rPr>
        <w:t>traditional</w:t>
      </w:r>
      <w:r w:rsidR="000032A8" w:rsidRPr="00FD6B58">
        <w:rPr>
          <w:sz w:val="24"/>
          <w:szCs w:val="24"/>
          <w:lang w:val="en-US"/>
        </w:rPr>
        <w:t xml:space="preserve"> doctrinal lessons</w:t>
      </w:r>
      <w:r w:rsidR="00AB73DE" w:rsidRPr="00FD6B58">
        <w:rPr>
          <w:sz w:val="24"/>
          <w:szCs w:val="24"/>
          <w:lang w:val="en-US"/>
        </w:rPr>
        <w:t xml:space="preserve"> and foreign experience</w:t>
      </w:r>
      <w:r w:rsidR="00ED6006" w:rsidRPr="00FD6B58">
        <w:rPr>
          <w:sz w:val="24"/>
          <w:szCs w:val="24"/>
          <w:lang w:val="en-US"/>
        </w:rPr>
        <w:t>.</w:t>
      </w:r>
      <w:r w:rsidR="00C17F2A">
        <w:rPr>
          <w:sz w:val="24"/>
          <w:szCs w:val="24"/>
          <w:lang w:val="en-US"/>
        </w:rPr>
        <w:t xml:space="preserve"> In other words, the “glue” of corporate law binding the legal entity is simply not as potent.</w:t>
      </w:r>
      <w:r w:rsidR="00C17F2A">
        <w:rPr>
          <w:rStyle w:val="Refdenotaderodap"/>
          <w:sz w:val="24"/>
          <w:szCs w:val="24"/>
          <w:lang w:val="en-US"/>
        </w:rPr>
        <w:footnoteReference w:id="12"/>
      </w:r>
      <w:r w:rsidR="00C17F2A">
        <w:rPr>
          <w:sz w:val="24"/>
          <w:szCs w:val="24"/>
          <w:lang w:val="en-US"/>
        </w:rPr>
        <w:t xml:space="preserve"> </w:t>
      </w:r>
    </w:p>
    <w:p w:rsidR="009B11F9" w:rsidRPr="00FD6B58" w:rsidRDefault="007D3DBA" w:rsidP="00260800">
      <w:pPr>
        <w:ind w:firstLine="708"/>
        <w:jc w:val="both"/>
        <w:rPr>
          <w:sz w:val="24"/>
          <w:szCs w:val="24"/>
          <w:lang w:val="en-US"/>
        </w:rPr>
      </w:pPr>
      <w:r>
        <w:rPr>
          <w:sz w:val="24"/>
          <w:szCs w:val="24"/>
          <w:lang w:val="en-US"/>
        </w:rPr>
        <w:t>After mapping this phenomenon, an immediate question arises: w</w:t>
      </w:r>
      <w:r w:rsidR="006D5D50" w:rsidRPr="00FD6B58">
        <w:rPr>
          <w:sz w:val="24"/>
          <w:szCs w:val="24"/>
          <w:lang w:val="en-US"/>
        </w:rPr>
        <w:t xml:space="preserve">hat, then, explains </w:t>
      </w:r>
      <w:r>
        <w:rPr>
          <w:sz w:val="24"/>
          <w:szCs w:val="24"/>
          <w:lang w:val="en-US"/>
        </w:rPr>
        <w:t>such</w:t>
      </w:r>
      <w:r w:rsidR="00F641C0">
        <w:rPr>
          <w:sz w:val="24"/>
          <w:szCs w:val="24"/>
          <w:lang w:val="en-US"/>
        </w:rPr>
        <w:t xml:space="preserve"> </w:t>
      </w:r>
      <w:r w:rsidR="007C3845">
        <w:rPr>
          <w:sz w:val="24"/>
          <w:szCs w:val="24"/>
          <w:lang w:val="en-US"/>
        </w:rPr>
        <w:t>deviation</w:t>
      </w:r>
      <w:r w:rsidR="006D5D50" w:rsidRPr="00FD6B58">
        <w:rPr>
          <w:sz w:val="24"/>
          <w:szCs w:val="24"/>
          <w:lang w:val="en-US"/>
        </w:rPr>
        <w:t xml:space="preserve">? </w:t>
      </w:r>
      <w:r w:rsidR="00D20492" w:rsidRPr="00FD6B58">
        <w:rPr>
          <w:sz w:val="24"/>
          <w:szCs w:val="24"/>
          <w:lang w:val="en-US"/>
        </w:rPr>
        <w:t xml:space="preserve">Existing theories about differences in </w:t>
      </w:r>
      <w:r w:rsidR="0002525A">
        <w:rPr>
          <w:sz w:val="24"/>
          <w:szCs w:val="24"/>
          <w:lang w:val="en-US"/>
        </w:rPr>
        <w:t>commercial laws</w:t>
      </w:r>
      <w:r w:rsidR="00D20492" w:rsidRPr="00FD6B58">
        <w:rPr>
          <w:sz w:val="24"/>
          <w:szCs w:val="24"/>
          <w:lang w:val="en-US"/>
        </w:rPr>
        <w:t xml:space="preserve"> </w:t>
      </w:r>
      <w:r w:rsidR="009E219B">
        <w:rPr>
          <w:sz w:val="24"/>
          <w:szCs w:val="24"/>
          <w:lang w:val="en-US"/>
        </w:rPr>
        <w:t xml:space="preserve">around the world </w:t>
      </w:r>
      <w:r w:rsidR="00550783">
        <w:rPr>
          <w:sz w:val="24"/>
          <w:szCs w:val="24"/>
          <w:lang w:val="en-US"/>
        </w:rPr>
        <w:t>offer</w:t>
      </w:r>
      <w:r w:rsidR="00D20492" w:rsidRPr="00FD6B58">
        <w:rPr>
          <w:sz w:val="24"/>
          <w:szCs w:val="24"/>
          <w:lang w:val="en-US"/>
        </w:rPr>
        <w:t xml:space="preserve"> interesting</w:t>
      </w:r>
      <w:r w:rsidR="003D51CA">
        <w:rPr>
          <w:sz w:val="24"/>
          <w:szCs w:val="24"/>
          <w:lang w:val="en-US"/>
        </w:rPr>
        <w:t xml:space="preserve">, but ultimately unsatisfactory, </w:t>
      </w:r>
      <w:r w:rsidR="007C3845">
        <w:rPr>
          <w:sz w:val="24"/>
          <w:szCs w:val="24"/>
          <w:lang w:val="en-US"/>
        </w:rPr>
        <w:t>explanations</w:t>
      </w:r>
      <w:r w:rsidR="00D20492" w:rsidRPr="00FD6B58">
        <w:rPr>
          <w:sz w:val="24"/>
          <w:szCs w:val="24"/>
          <w:lang w:val="en-US"/>
        </w:rPr>
        <w:t xml:space="preserve">. For instance, one </w:t>
      </w:r>
      <w:r w:rsidR="003D51CA">
        <w:rPr>
          <w:sz w:val="24"/>
          <w:szCs w:val="24"/>
          <w:lang w:val="en-US"/>
        </w:rPr>
        <w:t>could attribute the</w:t>
      </w:r>
      <w:r w:rsidR="00D20492" w:rsidRPr="00FD6B58">
        <w:rPr>
          <w:sz w:val="24"/>
          <w:szCs w:val="24"/>
          <w:lang w:val="en-US"/>
        </w:rPr>
        <w:t xml:space="preserve"> </w:t>
      </w:r>
      <w:r w:rsidR="00954C0B" w:rsidRPr="00FD6B58">
        <w:rPr>
          <w:sz w:val="24"/>
          <w:szCs w:val="24"/>
          <w:lang w:val="en-US"/>
        </w:rPr>
        <w:t xml:space="preserve">fragility of the core corporate elements in Brazil </w:t>
      </w:r>
      <w:r w:rsidR="007179DC">
        <w:rPr>
          <w:sz w:val="24"/>
          <w:szCs w:val="24"/>
          <w:lang w:val="en-US"/>
        </w:rPr>
        <w:t xml:space="preserve">to </w:t>
      </w:r>
      <w:r w:rsidR="00954C0B" w:rsidRPr="00FD6B58">
        <w:rPr>
          <w:sz w:val="24"/>
          <w:szCs w:val="24"/>
          <w:lang w:val="en-US"/>
        </w:rPr>
        <w:t xml:space="preserve">incomplete or </w:t>
      </w:r>
      <w:r w:rsidR="00D20492" w:rsidRPr="00FD6B58">
        <w:rPr>
          <w:sz w:val="24"/>
          <w:szCs w:val="24"/>
          <w:lang w:val="en-US"/>
        </w:rPr>
        <w:t>failed</w:t>
      </w:r>
      <w:r w:rsidR="00954C0B" w:rsidRPr="00FD6B58">
        <w:rPr>
          <w:sz w:val="24"/>
          <w:szCs w:val="24"/>
          <w:lang w:val="en-US"/>
        </w:rPr>
        <w:t xml:space="preserve"> legal transplant of the corporat</w:t>
      </w:r>
      <w:r w:rsidR="00D20492" w:rsidRPr="00FD6B58">
        <w:rPr>
          <w:sz w:val="24"/>
          <w:szCs w:val="24"/>
          <w:lang w:val="en-US"/>
        </w:rPr>
        <w:t>e form in the past,</w:t>
      </w:r>
      <w:r w:rsidR="00954C0B" w:rsidRPr="00FD6B58">
        <w:rPr>
          <w:sz w:val="24"/>
          <w:szCs w:val="24"/>
          <w:lang w:val="en-US"/>
        </w:rPr>
        <w:t xml:space="preserve"> which d</w:t>
      </w:r>
      <w:r w:rsidR="00D20492" w:rsidRPr="00FD6B58">
        <w:rPr>
          <w:sz w:val="24"/>
          <w:szCs w:val="24"/>
          <w:lang w:val="en-US"/>
        </w:rPr>
        <w:t>id not take root in unreceptive foreign soil.</w:t>
      </w:r>
      <w:r w:rsidR="0003775A">
        <w:rPr>
          <w:rStyle w:val="Refdenotaderodap"/>
          <w:sz w:val="24"/>
          <w:szCs w:val="24"/>
          <w:lang w:val="en-US"/>
        </w:rPr>
        <w:footnoteReference w:id="13"/>
      </w:r>
      <w:r w:rsidR="00D20492" w:rsidRPr="00FD6B58">
        <w:rPr>
          <w:sz w:val="24"/>
          <w:szCs w:val="24"/>
          <w:lang w:val="en-US"/>
        </w:rPr>
        <w:t xml:space="preserve"> </w:t>
      </w:r>
      <w:r w:rsidR="005462CC">
        <w:rPr>
          <w:sz w:val="24"/>
          <w:szCs w:val="24"/>
          <w:lang w:val="en-US"/>
        </w:rPr>
        <w:t>Alternatively</w:t>
      </w:r>
      <w:r w:rsidR="00A62F4A" w:rsidRPr="00FD6B58">
        <w:rPr>
          <w:sz w:val="24"/>
          <w:szCs w:val="24"/>
          <w:lang w:val="en-US"/>
        </w:rPr>
        <w:t>,</w:t>
      </w:r>
      <w:r w:rsidR="00D20492" w:rsidRPr="00FD6B58">
        <w:rPr>
          <w:sz w:val="24"/>
          <w:szCs w:val="24"/>
          <w:lang w:val="en-US"/>
        </w:rPr>
        <w:t xml:space="preserve"> one could conjecture that other complementary local conditions have led to </w:t>
      </w:r>
      <w:r w:rsidR="00012362" w:rsidRPr="00FD6B58">
        <w:rPr>
          <w:sz w:val="24"/>
          <w:szCs w:val="24"/>
          <w:lang w:val="en-US"/>
        </w:rPr>
        <w:t xml:space="preserve">deep-rooted forms of path dependence involving </w:t>
      </w:r>
      <w:r w:rsidR="00E879B6">
        <w:rPr>
          <w:sz w:val="24"/>
          <w:szCs w:val="24"/>
          <w:lang w:val="en-US"/>
        </w:rPr>
        <w:t>“</w:t>
      </w:r>
      <w:proofErr w:type="spellStart"/>
      <w:r w:rsidR="00012362" w:rsidRPr="00FD6B58">
        <w:rPr>
          <w:sz w:val="24"/>
          <w:szCs w:val="24"/>
          <w:lang w:val="en-US"/>
        </w:rPr>
        <w:t>uncorporate</w:t>
      </w:r>
      <w:proofErr w:type="spellEnd"/>
      <w:r w:rsidR="00E879B6">
        <w:rPr>
          <w:sz w:val="24"/>
          <w:szCs w:val="24"/>
          <w:lang w:val="en-US"/>
        </w:rPr>
        <w:t>”</w:t>
      </w:r>
      <w:r w:rsidR="00012362" w:rsidRPr="00FD6B58">
        <w:rPr>
          <w:sz w:val="24"/>
          <w:szCs w:val="24"/>
          <w:lang w:val="en-US"/>
        </w:rPr>
        <w:t xml:space="preserve"> </w:t>
      </w:r>
      <w:r w:rsidR="00E920ED" w:rsidRPr="00FD6B58">
        <w:rPr>
          <w:sz w:val="24"/>
          <w:szCs w:val="24"/>
          <w:lang w:val="en-US"/>
        </w:rPr>
        <w:t xml:space="preserve">forms of </w:t>
      </w:r>
      <w:r w:rsidR="00012362" w:rsidRPr="00FD6B58">
        <w:rPr>
          <w:sz w:val="24"/>
          <w:szCs w:val="24"/>
          <w:lang w:val="en-US"/>
        </w:rPr>
        <w:t>organization.</w:t>
      </w:r>
      <w:r w:rsidR="003475A1">
        <w:rPr>
          <w:rStyle w:val="Refdenotaderodap"/>
          <w:sz w:val="24"/>
          <w:szCs w:val="24"/>
          <w:lang w:val="en-US"/>
        </w:rPr>
        <w:footnoteReference w:id="14"/>
      </w:r>
      <w:r w:rsidR="00CD5771" w:rsidRPr="00FD6B58">
        <w:rPr>
          <w:sz w:val="24"/>
          <w:szCs w:val="24"/>
          <w:lang w:val="en-US"/>
        </w:rPr>
        <w:t xml:space="preserve"> </w:t>
      </w:r>
      <w:r w:rsidR="005462CC">
        <w:rPr>
          <w:sz w:val="24"/>
          <w:szCs w:val="24"/>
          <w:lang w:val="en-US"/>
        </w:rPr>
        <w:t xml:space="preserve">Relatedly, </w:t>
      </w:r>
      <w:r w:rsidR="00F44298">
        <w:rPr>
          <w:sz w:val="24"/>
          <w:szCs w:val="24"/>
          <w:lang w:val="en-US"/>
        </w:rPr>
        <w:t>the explanation for</w:t>
      </w:r>
      <w:r w:rsidR="009C5C52">
        <w:rPr>
          <w:sz w:val="24"/>
          <w:szCs w:val="24"/>
          <w:lang w:val="en-US"/>
        </w:rPr>
        <w:t xml:space="preserve"> such</w:t>
      </w:r>
      <w:r w:rsidR="00F44298">
        <w:rPr>
          <w:sz w:val="24"/>
          <w:szCs w:val="24"/>
          <w:lang w:val="en-US"/>
        </w:rPr>
        <w:t xml:space="preserve"> disparity could lie</w:t>
      </w:r>
      <w:r w:rsidR="00E879B6">
        <w:rPr>
          <w:sz w:val="24"/>
          <w:szCs w:val="24"/>
          <w:lang w:val="en-US"/>
        </w:rPr>
        <w:t xml:space="preserve"> entirely</w:t>
      </w:r>
      <w:r w:rsidR="00F44298">
        <w:rPr>
          <w:sz w:val="24"/>
          <w:szCs w:val="24"/>
          <w:lang w:val="en-US"/>
        </w:rPr>
        <w:t xml:space="preserve"> in interest group politics.</w:t>
      </w:r>
      <w:r w:rsidR="00F44298">
        <w:rPr>
          <w:rStyle w:val="Refdenotaderodap"/>
          <w:sz w:val="24"/>
          <w:szCs w:val="24"/>
          <w:lang w:val="en-US"/>
        </w:rPr>
        <w:footnoteReference w:id="15"/>
      </w:r>
    </w:p>
    <w:p w:rsidR="000B495B" w:rsidRPr="00FD6B58" w:rsidRDefault="000414E1" w:rsidP="00260800">
      <w:pPr>
        <w:ind w:firstLine="708"/>
        <w:jc w:val="both"/>
        <w:rPr>
          <w:sz w:val="24"/>
          <w:szCs w:val="24"/>
          <w:lang w:val="en-US"/>
        </w:rPr>
      </w:pPr>
      <w:r>
        <w:rPr>
          <w:sz w:val="24"/>
          <w:szCs w:val="24"/>
          <w:lang w:val="en-US"/>
        </w:rPr>
        <w:t>Defying these assumptions</w:t>
      </w:r>
      <w:r w:rsidR="009B11F9" w:rsidRPr="00FD6B58">
        <w:rPr>
          <w:sz w:val="24"/>
          <w:szCs w:val="24"/>
          <w:lang w:val="en-US"/>
        </w:rPr>
        <w:t xml:space="preserve">, however, </w:t>
      </w:r>
      <w:r w:rsidR="00813D7F" w:rsidRPr="00FD6B58">
        <w:rPr>
          <w:sz w:val="24"/>
          <w:szCs w:val="24"/>
          <w:lang w:val="en-US"/>
        </w:rPr>
        <w:t>the “</w:t>
      </w:r>
      <w:proofErr w:type="spellStart"/>
      <w:r w:rsidR="006619D8">
        <w:rPr>
          <w:sz w:val="24"/>
          <w:szCs w:val="24"/>
          <w:lang w:val="en-US"/>
        </w:rPr>
        <w:t>de</w:t>
      </w:r>
      <w:r w:rsidR="00813D7F" w:rsidRPr="00FD6B58">
        <w:rPr>
          <w:sz w:val="24"/>
          <w:szCs w:val="24"/>
          <w:lang w:val="en-US"/>
        </w:rPr>
        <w:t>corporatization</w:t>
      </w:r>
      <w:proofErr w:type="spellEnd"/>
      <w:r w:rsidR="00813D7F" w:rsidRPr="00FD6B58">
        <w:rPr>
          <w:sz w:val="24"/>
          <w:szCs w:val="24"/>
          <w:lang w:val="en-US"/>
        </w:rPr>
        <w:t xml:space="preserve">” of the Brazilian S.A. </w:t>
      </w:r>
      <w:r w:rsidR="008B3F95" w:rsidRPr="00FD6B58">
        <w:rPr>
          <w:sz w:val="24"/>
          <w:szCs w:val="24"/>
          <w:lang w:val="en-US"/>
        </w:rPr>
        <w:t xml:space="preserve">is hardly </w:t>
      </w:r>
      <w:r w:rsidR="00813D7F" w:rsidRPr="00FD6B58">
        <w:rPr>
          <w:sz w:val="24"/>
          <w:szCs w:val="24"/>
          <w:lang w:val="en-US"/>
        </w:rPr>
        <w:t xml:space="preserve">a remnant </w:t>
      </w:r>
      <w:r w:rsidR="008B3F95" w:rsidRPr="00FD6B58">
        <w:rPr>
          <w:sz w:val="24"/>
          <w:szCs w:val="24"/>
          <w:lang w:val="en-US"/>
        </w:rPr>
        <w:t xml:space="preserve">of </w:t>
      </w:r>
      <w:r w:rsidR="00813D7F" w:rsidRPr="00FD6B58">
        <w:rPr>
          <w:sz w:val="24"/>
          <w:szCs w:val="24"/>
          <w:lang w:val="en-US"/>
        </w:rPr>
        <w:t xml:space="preserve">the </w:t>
      </w:r>
      <w:r w:rsidR="008B3F95" w:rsidRPr="00FD6B58">
        <w:rPr>
          <w:sz w:val="24"/>
          <w:szCs w:val="24"/>
          <w:lang w:val="en-US"/>
        </w:rPr>
        <w:t xml:space="preserve">distant </w:t>
      </w:r>
      <w:r w:rsidR="00813D7F" w:rsidRPr="00FD6B58">
        <w:rPr>
          <w:sz w:val="24"/>
          <w:szCs w:val="24"/>
          <w:lang w:val="en-US"/>
        </w:rPr>
        <w:t>past.</w:t>
      </w:r>
      <w:r w:rsidR="008B3F95" w:rsidRPr="00FD6B58">
        <w:rPr>
          <w:sz w:val="24"/>
          <w:szCs w:val="24"/>
          <w:lang w:val="en-US"/>
        </w:rPr>
        <w:t xml:space="preserve"> On the contrary, the weakening of the core elements of the corporate form has </w:t>
      </w:r>
      <w:r w:rsidR="00EB3111">
        <w:rPr>
          <w:sz w:val="24"/>
          <w:szCs w:val="24"/>
          <w:lang w:val="en-US"/>
        </w:rPr>
        <w:t>taken place</w:t>
      </w:r>
      <w:r w:rsidR="008B3F95" w:rsidRPr="00FD6B58">
        <w:rPr>
          <w:sz w:val="24"/>
          <w:szCs w:val="24"/>
          <w:lang w:val="en-US"/>
        </w:rPr>
        <w:t xml:space="preserve"> </w:t>
      </w:r>
      <w:r w:rsidR="00964688">
        <w:rPr>
          <w:sz w:val="24"/>
          <w:szCs w:val="24"/>
          <w:lang w:val="en-US"/>
        </w:rPr>
        <w:t xml:space="preserve">only </w:t>
      </w:r>
      <w:r w:rsidR="008B3F95" w:rsidRPr="00FD6B58">
        <w:rPr>
          <w:sz w:val="24"/>
          <w:szCs w:val="24"/>
          <w:lang w:val="en-US"/>
        </w:rPr>
        <w:t>in the last few decades</w:t>
      </w:r>
      <w:r w:rsidR="00BC547F" w:rsidRPr="00FD6B58">
        <w:rPr>
          <w:sz w:val="24"/>
          <w:szCs w:val="24"/>
          <w:lang w:val="en-US"/>
        </w:rPr>
        <w:t xml:space="preserve">, and continues to </w:t>
      </w:r>
      <w:r w:rsidR="00EB3111">
        <w:rPr>
          <w:sz w:val="24"/>
          <w:szCs w:val="24"/>
          <w:lang w:val="en-US"/>
        </w:rPr>
        <w:t>accelerate</w:t>
      </w:r>
      <w:r w:rsidR="004425D9" w:rsidRPr="00FD6B58">
        <w:rPr>
          <w:sz w:val="24"/>
          <w:szCs w:val="24"/>
          <w:lang w:val="en-US"/>
        </w:rPr>
        <w:t>.</w:t>
      </w:r>
      <w:r w:rsidR="00590B4B" w:rsidRPr="00FD6B58">
        <w:rPr>
          <w:sz w:val="24"/>
          <w:szCs w:val="24"/>
          <w:lang w:val="en-US"/>
        </w:rPr>
        <w:t xml:space="preserve"> </w:t>
      </w:r>
      <w:r w:rsidR="003805BB">
        <w:rPr>
          <w:sz w:val="24"/>
          <w:szCs w:val="24"/>
          <w:lang w:val="en-US"/>
        </w:rPr>
        <w:t xml:space="preserve">The influence of interest groups is not </w:t>
      </w:r>
      <w:r w:rsidR="003E4EBE">
        <w:rPr>
          <w:sz w:val="24"/>
          <w:szCs w:val="24"/>
          <w:lang w:val="en-US"/>
        </w:rPr>
        <w:t xml:space="preserve">entirely </w:t>
      </w:r>
      <w:r w:rsidR="003805BB">
        <w:rPr>
          <w:sz w:val="24"/>
          <w:szCs w:val="24"/>
          <w:lang w:val="en-US"/>
        </w:rPr>
        <w:t>apparent, either</w:t>
      </w:r>
      <w:r w:rsidR="00E879B6">
        <w:rPr>
          <w:sz w:val="24"/>
          <w:szCs w:val="24"/>
          <w:lang w:val="en-US"/>
        </w:rPr>
        <w:t xml:space="preserve">. </w:t>
      </w:r>
      <w:r w:rsidR="00590B4B" w:rsidRPr="00FD6B58">
        <w:rPr>
          <w:sz w:val="24"/>
          <w:szCs w:val="24"/>
          <w:lang w:val="en-US"/>
        </w:rPr>
        <w:t xml:space="preserve">While </w:t>
      </w:r>
      <w:r w:rsidR="00AD5501">
        <w:rPr>
          <w:sz w:val="24"/>
          <w:szCs w:val="24"/>
          <w:lang w:val="en-US"/>
        </w:rPr>
        <w:t>parts of this</w:t>
      </w:r>
      <w:r w:rsidR="00590B4B" w:rsidRPr="00FD6B58">
        <w:rPr>
          <w:sz w:val="24"/>
          <w:szCs w:val="24"/>
          <w:lang w:val="en-US"/>
        </w:rPr>
        <w:t xml:space="preserve"> </w:t>
      </w:r>
      <w:r w:rsidR="000C1C7C">
        <w:rPr>
          <w:sz w:val="24"/>
          <w:szCs w:val="24"/>
          <w:lang w:val="en-US"/>
        </w:rPr>
        <w:t>process</w:t>
      </w:r>
      <w:r w:rsidR="00590B4B" w:rsidRPr="00FD6B58">
        <w:rPr>
          <w:sz w:val="24"/>
          <w:szCs w:val="24"/>
          <w:lang w:val="en-US"/>
        </w:rPr>
        <w:t xml:space="preserve"> ha</w:t>
      </w:r>
      <w:r w:rsidR="00AD5501">
        <w:rPr>
          <w:sz w:val="24"/>
          <w:szCs w:val="24"/>
          <w:lang w:val="en-US"/>
        </w:rPr>
        <w:t>ve</w:t>
      </w:r>
      <w:r w:rsidR="00590B4B" w:rsidRPr="00FD6B58">
        <w:rPr>
          <w:sz w:val="24"/>
          <w:szCs w:val="24"/>
          <w:lang w:val="en-US"/>
        </w:rPr>
        <w:t xml:space="preserve"> roots in federal legislation, </w:t>
      </w:r>
      <w:r w:rsidR="00964688">
        <w:rPr>
          <w:sz w:val="24"/>
          <w:szCs w:val="24"/>
          <w:lang w:val="en-US"/>
        </w:rPr>
        <w:t>a significant p</w:t>
      </w:r>
      <w:r w:rsidR="00AD5501">
        <w:rPr>
          <w:sz w:val="24"/>
          <w:szCs w:val="24"/>
          <w:lang w:val="en-US"/>
        </w:rPr>
        <w:t>ortion</w:t>
      </w:r>
      <w:r w:rsidR="00964688">
        <w:rPr>
          <w:sz w:val="24"/>
          <w:szCs w:val="24"/>
          <w:lang w:val="en-US"/>
        </w:rPr>
        <w:t xml:space="preserve"> of it is</w:t>
      </w:r>
      <w:r w:rsidR="00590B4B" w:rsidRPr="00FD6B58">
        <w:rPr>
          <w:sz w:val="24"/>
          <w:szCs w:val="24"/>
          <w:lang w:val="en-US"/>
        </w:rPr>
        <w:t xml:space="preserve"> the product of court-driven indigenous developments</w:t>
      </w:r>
      <w:r w:rsidR="00475570">
        <w:rPr>
          <w:sz w:val="24"/>
          <w:szCs w:val="24"/>
          <w:lang w:val="en-US"/>
        </w:rPr>
        <w:t xml:space="preserve"> that largely favor disorganized constituencies</w:t>
      </w:r>
      <w:r w:rsidR="00590B4B" w:rsidRPr="00FD6B58">
        <w:rPr>
          <w:sz w:val="24"/>
          <w:szCs w:val="24"/>
          <w:lang w:val="en-US"/>
        </w:rPr>
        <w:t xml:space="preserve">. </w:t>
      </w:r>
      <w:r w:rsidR="001473DF" w:rsidRPr="00FD6B58">
        <w:rPr>
          <w:sz w:val="24"/>
          <w:szCs w:val="24"/>
          <w:lang w:val="en-US"/>
        </w:rPr>
        <w:t xml:space="preserve">Moreover, </w:t>
      </w:r>
      <w:r w:rsidR="00346542">
        <w:rPr>
          <w:sz w:val="24"/>
          <w:szCs w:val="24"/>
          <w:lang w:val="en-US"/>
        </w:rPr>
        <w:t>counter to</w:t>
      </w:r>
      <w:r w:rsidR="001473DF" w:rsidRPr="00FD6B58">
        <w:rPr>
          <w:sz w:val="24"/>
          <w:szCs w:val="24"/>
          <w:lang w:val="en-US"/>
        </w:rPr>
        <w:t xml:space="preserve"> </w:t>
      </w:r>
      <w:r w:rsidR="003805BB">
        <w:rPr>
          <w:sz w:val="24"/>
          <w:szCs w:val="24"/>
          <w:lang w:val="en-US"/>
        </w:rPr>
        <w:t>prevailing</w:t>
      </w:r>
      <w:r w:rsidR="001473DF" w:rsidRPr="00FD6B58">
        <w:rPr>
          <w:sz w:val="24"/>
          <w:szCs w:val="24"/>
          <w:lang w:val="en-US"/>
        </w:rPr>
        <w:t xml:space="preserve"> practice </w:t>
      </w:r>
      <w:r w:rsidR="001D0E60">
        <w:rPr>
          <w:sz w:val="24"/>
          <w:szCs w:val="24"/>
          <w:lang w:val="en-US"/>
        </w:rPr>
        <w:t xml:space="preserve">in </w:t>
      </w:r>
      <w:r w:rsidR="001473DF" w:rsidRPr="00FD6B58">
        <w:rPr>
          <w:sz w:val="24"/>
          <w:szCs w:val="24"/>
          <w:lang w:val="en-US"/>
        </w:rPr>
        <w:t>civil law jurisdictions</w:t>
      </w:r>
      <w:r w:rsidR="001D0E60">
        <w:rPr>
          <w:sz w:val="24"/>
          <w:szCs w:val="24"/>
          <w:lang w:val="en-US"/>
        </w:rPr>
        <w:t xml:space="preserve"> and emerging markets</w:t>
      </w:r>
      <w:r w:rsidR="001473DF" w:rsidRPr="00FD6B58">
        <w:rPr>
          <w:sz w:val="24"/>
          <w:szCs w:val="24"/>
          <w:lang w:val="en-US"/>
        </w:rPr>
        <w:t xml:space="preserve">, the influence of legal scholars </w:t>
      </w:r>
      <w:r w:rsidR="00B271CD">
        <w:rPr>
          <w:sz w:val="24"/>
          <w:szCs w:val="24"/>
          <w:lang w:val="en-US"/>
        </w:rPr>
        <w:t xml:space="preserve">and foreign trends </w:t>
      </w:r>
      <w:r w:rsidR="00BF091A">
        <w:rPr>
          <w:sz w:val="24"/>
          <w:szCs w:val="24"/>
          <w:lang w:val="en-US"/>
        </w:rPr>
        <w:t xml:space="preserve">on this transformation </w:t>
      </w:r>
      <w:r w:rsidR="001C3BA1">
        <w:rPr>
          <w:sz w:val="24"/>
          <w:szCs w:val="24"/>
          <w:lang w:val="en-US"/>
        </w:rPr>
        <w:t>ranged from modest to non-existent</w:t>
      </w:r>
      <w:r w:rsidR="00BF091A">
        <w:rPr>
          <w:sz w:val="24"/>
          <w:szCs w:val="24"/>
          <w:lang w:val="en-US"/>
        </w:rPr>
        <w:t>.</w:t>
      </w:r>
      <w:r w:rsidR="001473DF" w:rsidRPr="00FD6B58">
        <w:rPr>
          <w:sz w:val="24"/>
          <w:szCs w:val="24"/>
          <w:lang w:val="en-US"/>
        </w:rPr>
        <w:t xml:space="preserve"> </w:t>
      </w:r>
    </w:p>
    <w:p w:rsidR="00D205CB" w:rsidRDefault="007D3DBA" w:rsidP="00260800">
      <w:pPr>
        <w:ind w:firstLine="708"/>
        <w:jc w:val="both"/>
        <w:rPr>
          <w:sz w:val="24"/>
          <w:szCs w:val="24"/>
          <w:lang w:val="en-US"/>
        </w:rPr>
      </w:pPr>
      <w:r>
        <w:rPr>
          <w:sz w:val="24"/>
          <w:szCs w:val="24"/>
          <w:lang w:val="en-US"/>
        </w:rPr>
        <w:t>In view of this apparent puzzle</w:t>
      </w:r>
      <w:r w:rsidR="007C3845">
        <w:rPr>
          <w:sz w:val="24"/>
          <w:szCs w:val="24"/>
          <w:lang w:val="en-US"/>
        </w:rPr>
        <w:t>, this Article</w:t>
      </w:r>
      <w:r w:rsidR="00D320D0" w:rsidRPr="00FD6B58">
        <w:rPr>
          <w:sz w:val="24"/>
          <w:szCs w:val="24"/>
          <w:lang w:val="en-US"/>
        </w:rPr>
        <w:t xml:space="preserve"> explore</w:t>
      </w:r>
      <w:r w:rsidR="007C3845">
        <w:rPr>
          <w:sz w:val="24"/>
          <w:szCs w:val="24"/>
          <w:lang w:val="en-US"/>
        </w:rPr>
        <w:t>s</w:t>
      </w:r>
      <w:r w:rsidR="00D84151">
        <w:rPr>
          <w:sz w:val="24"/>
          <w:szCs w:val="24"/>
          <w:lang w:val="en-US"/>
        </w:rPr>
        <w:t xml:space="preserve"> the potential </w:t>
      </w:r>
      <w:r w:rsidR="005303A5">
        <w:rPr>
          <w:sz w:val="24"/>
          <w:szCs w:val="24"/>
          <w:lang w:val="en-US"/>
        </w:rPr>
        <w:t>o</w:t>
      </w:r>
      <w:r w:rsidR="00D84151">
        <w:rPr>
          <w:sz w:val="24"/>
          <w:szCs w:val="24"/>
          <w:lang w:val="en-US"/>
        </w:rPr>
        <w:t>f</w:t>
      </w:r>
      <w:r w:rsidR="00D320D0" w:rsidRPr="00FD6B58">
        <w:rPr>
          <w:sz w:val="24"/>
          <w:szCs w:val="24"/>
          <w:lang w:val="en-US"/>
        </w:rPr>
        <w:t xml:space="preserve"> </w:t>
      </w:r>
      <w:r w:rsidR="006F6453">
        <w:rPr>
          <w:sz w:val="24"/>
          <w:szCs w:val="24"/>
          <w:lang w:val="en-US"/>
        </w:rPr>
        <w:t>different</w:t>
      </w:r>
      <w:r w:rsidR="00352B27" w:rsidRPr="00FD6B58">
        <w:rPr>
          <w:sz w:val="24"/>
          <w:szCs w:val="24"/>
          <w:lang w:val="en-US"/>
        </w:rPr>
        <w:t xml:space="preserve"> </w:t>
      </w:r>
      <w:r w:rsidR="00D84151">
        <w:rPr>
          <w:sz w:val="24"/>
          <w:szCs w:val="24"/>
          <w:lang w:val="en-US"/>
        </w:rPr>
        <w:t>interpretations</w:t>
      </w:r>
      <w:r w:rsidR="00352B27" w:rsidRPr="00FD6B58">
        <w:rPr>
          <w:sz w:val="24"/>
          <w:szCs w:val="24"/>
          <w:lang w:val="en-US"/>
        </w:rPr>
        <w:t xml:space="preserve"> </w:t>
      </w:r>
      <w:r w:rsidR="006F6453">
        <w:rPr>
          <w:sz w:val="24"/>
          <w:szCs w:val="24"/>
          <w:lang w:val="en-US"/>
        </w:rPr>
        <w:t>based on efficiency</w:t>
      </w:r>
      <w:r w:rsidR="005303A5">
        <w:rPr>
          <w:sz w:val="24"/>
          <w:szCs w:val="24"/>
          <w:lang w:val="en-US"/>
        </w:rPr>
        <w:t xml:space="preserve"> and distribution</w:t>
      </w:r>
      <w:r w:rsidR="00AC5CE5">
        <w:rPr>
          <w:sz w:val="24"/>
          <w:szCs w:val="24"/>
          <w:lang w:val="en-US"/>
        </w:rPr>
        <w:t xml:space="preserve"> considerations</w:t>
      </w:r>
      <w:r w:rsidR="00352B27" w:rsidRPr="00FD6B58">
        <w:rPr>
          <w:sz w:val="24"/>
          <w:szCs w:val="24"/>
          <w:lang w:val="en-US"/>
        </w:rPr>
        <w:t xml:space="preserve">. </w:t>
      </w:r>
      <w:r w:rsidR="00D205CB">
        <w:rPr>
          <w:sz w:val="24"/>
          <w:szCs w:val="24"/>
          <w:lang w:val="en-US"/>
        </w:rPr>
        <w:t xml:space="preserve">As we will see, in many, though not all, respects, there is at least a theoretical case that Brazil’s </w:t>
      </w:r>
      <w:r w:rsidR="000129E0">
        <w:rPr>
          <w:sz w:val="24"/>
          <w:szCs w:val="24"/>
          <w:lang w:val="en-US"/>
        </w:rPr>
        <w:t>toned down</w:t>
      </w:r>
      <w:r w:rsidR="00D205CB">
        <w:rPr>
          <w:sz w:val="24"/>
          <w:szCs w:val="24"/>
          <w:lang w:val="en-US"/>
        </w:rPr>
        <w:t xml:space="preserve"> corporate regime is the efficient one—not only for Brazil, but everywhere. Brazil could thus be seen as a pioneer in implementing, albeit unknowingly, </w:t>
      </w:r>
      <w:r w:rsidR="00633874">
        <w:rPr>
          <w:sz w:val="24"/>
          <w:szCs w:val="24"/>
          <w:lang w:val="en-US"/>
        </w:rPr>
        <w:t>famous proposals by U.S. law-and-economics scholars</w:t>
      </w:r>
      <w:r w:rsidR="00D205CB">
        <w:rPr>
          <w:sz w:val="24"/>
          <w:szCs w:val="24"/>
          <w:lang w:val="en-US"/>
        </w:rPr>
        <w:t xml:space="preserve">. That is, Brazil got there, while other countries have </w:t>
      </w:r>
      <w:proofErr w:type="gramStart"/>
      <w:r w:rsidR="00D205CB">
        <w:rPr>
          <w:sz w:val="24"/>
          <w:szCs w:val="24"/>
          <w:lang w:val="en-US"/>
        </w:rPr>
        <w:t>not,</w:t>
      </w:r>
      <w:proofErr w:type="gramEnd"/>
      <w:r w:rsidR="00D205CB">
        <w:rPr>
          <w:sz w:val="24"/>
          <w:szCs w:val="24"/>
          <w:lang w:val="en-US"/>
        </w:rPr>
        <w:t xml:space="preserve"> or at least not yet.</w:t>
      </w:r>
      <w:r w:rsidR="00A3247A">
        <w:rPr>
          <w:sz w:val="24"/>
          <w:szCs w:val="24"/>
          <w:lang w:val="en-US"/>
        </w:rPr>
        <w:t xml:space="preserve"> </w:t>
      </w:r>
    </w:p>
    <w:p w:rsidR="00CE17F5" w:rsidRPr="00633874" w:rsidRDefault="00D205CB" w:rsidP="00633874">
      <w:pPr>
        <w:ind w:firstLine="708"/>
        <w:jc w:val="both"/>
        <w:rPr>
          <w:sz w:val="24"/>
          <w:szCs w:val="24"/>
          <w:lang w:val="en-US"/>
        </w:rPr>
      </w:pPr>
      <w:r>
        <w:rPr>
          <w:sz w:val="24"/>
          <w:szCs w:val="24"/>
          <w:lang w:val="en-US"/>
        </w:rPr>
        <w:t xml:space="preserve">Brazil’s experiment with </w:t>
      </w:r>
      <w:proofErr w:type="spellStart"/>
      <w:r>
        <w:rPr>
          <w:sz w:val="24"/>
          <w:szCs w:val="24"/>
          <w:lang w:val="en-US"/>
        </w:rPr>
        <w:t>decorporatization</w:t>
      </w:r>
      <w:proofErr w:type="spellEnd"/>
      <w:r>
        <w:rPr>
          <w:sz w:val="24"/>
          <w:szCs w:val="24"/>
          <w:lang w:val="en-US"/>
        </w:rPr>
        <w:t xml:space="preserve"> also raises new theoretical </w:t>
      </w:r>
      <w:r w:rsidR="000129E0">
        <w:rPr>
          <w:sz w:val="24"/>
          <w:szCs w:val="24"/>
          <w:lang w:val="en-US"/>
        </w:rPr>
        <w:t>questions</w:t>
      </w:r>
      <w:r>
        <w:rPr>
          <w:sz w:val="24"/>
          <w:szCs w:val="24"/>
          <w:lang w:val="en-US"/>
        </w:rPr>
        <w:t xml:space="preserve">. One possibility is that the efficiency of the corporate form is contingent on the quality of the institutional environment. The </w:t>
      </w:r>
      <w:r w:rsidR="003337F8">
        <w:rPr>
          <w:sz w:val="24"/>
          <w:szCs w:val="24"/>
          <w:lang w:val="en-US"/>
        </w:rPr>
        <w:t>business corporation permits</w:t>
      </w:r>
      <w:r>
        <w:rPr>
          <w:sz w:val="24"/>
          <w:szCs w:val="24"/>
          <w:lang w:val="en-US"/>
        </w:rPr>
        <w:t xml:space="preserve"> the externalization of costs an</w:t>
      </w:r>
      <w:r w:rsidRPr="00633874">
        <w:rPr>
          <w:sz w:val="24"/>
          <w:szCs w:val="24"/>
          <w:lang w:val="en-US"/>
        </w:rPr>
        <w:t>d gives rise to</w:t>
      </w:r>
      <w:r w:rsidR="00FD6245">
        <w:rPr>
          <w:sz w:val="24"/>
          <w:szCs w:val="24"/>
          <w:lang w:val="en-US"/>
        </w:rPr>
        <w:t xml:space="preserve"> severe</w:t>
      </w:r>
      <w:r w:rsidRPr="00633874">
        <w:rPr>
          <w:sz w:val="24"/>
          <w:szCs w:val="24"/>
          <w:lang w:val="en-US"/>
        </w:rPr>
        <w:t xml:space="preserve"> agency</w:t>
      </w:r>
      <w:r w:rsidR="00B95ED5">
        <w:rPr>
          <w:sz w:val="24"/>
          <w:szCs w:val="24"/>
          <w:lang w:val="en-US"/>
        </w:rPr>
        <w:t xml:space="preserve"> problems</w:t>
      </w:r>
      <w:r w:rsidRPr="00633874">
        <w:rPr>
          <w:sz w:val="24"/>
          <w:szCs w:val="24"/>
          <w:lang w:val="en-US"/>
        </w:rPr>
        <w:t xml:space="preserve">; indeed, no </w:t>
      </w:r>
      <w:r w:rsidR="00633874" w:rsidRPr="00633874">
        <w:rPr>
          <w:sz w:val="24"/>
          <w:szCs w:val="24"/>
          <w:lang w:val="en-US"/>
        </w:rPr>
        <w:t xml:space="preserve">one </w:t>
      </w:r>
      <w:r w:rsidR="00932E9D">
        <w:rPr>
          <w:sz w:val="24"/>
          <w:szCs w:val="24"/>
          <w:lang w:val="en-US"/>
        </w:rPr>
        <w:t>other</w:t>
      </w:r>
      <w:r w:rsidR="00633874" w:rsidRPr="00633874">
        <w:rPr>
          <w:sz w:val="24"/>
          <w:szCs w:val="24"/>
          <w:lang w:val="en-US"/>
        </w:rPr>
        <w:t xml:space="preserve"> than Adam Smith was a </w:t>
      </w:r>
      <w:r w:rsidR="003337F8">
        <w:rPr>
          <w:sz w:val="24"/>
          <w:szCs w:val="24"/>
          <w:lang w:val="en-US"/>
        </w:rPr>
        <w:t>vehement critic of the corporate form</w:t>
      </w:r>
      <w:r w:rsidR="00633874" w:rsidRPr="00633874">
        <w:rPr>
          <w:sz w:val="24"/>
          <w:szCs w:val="24"/>
          <w:lang w:val="en-US"/>
        </w:rPr>
        <w:t>.</w:t>
      </w:r>
      <w:r w:rsidR="00633874" w:rsidRPr="00633874">
        <w:rPr>
          <w:rStyle w:val="Refdenotaderodap"/>
          <w:sz w:val="24"/>
          <w:szCs w:val="24"/>
          <w:lang w:val="en-US"/>
        </w:rPr>
        <w:footnoteReference w:id="16"/>
      </w:r>
      <w:r w:rsidR="00633874" w:rsidRPr="00633874">
        <w:rPr>
          <w:sz w:val="24"/>
          <w:szCs w:val="24"/>
          <w:lang w:val="en-US"/>
        </w:rPr>
        <w:t xml:space="preserve"> Policing such </w:t>
      </w:r>
      <w:r w:rsidR="00611297" w:rsidRPr="00633874">
        <w:rPr>
          <w:sz w:val="24"/>
          <w:szCs w:val="24"/>
          <w:lang w:val="en-US"/>
        </w:rPr>
        <w:t>agency</w:t>
      </w:r>
      <w:r w:rsidR="00B70443" w:rsidRPr="00633874">
        <w:rPr>
          <w:sz w:val="24"/>
          <w:szCs w:val="24"/>
          <w:lang w:val="en-US"/>
        </w:rPr>
        <w:t xml:space="preserve"> problems</w:t>
      </w:r>
      <w:r w:rsidR="00611297" w:rsidRPr="00633874">
        <w:rPr>
          <w:sz w:val="24"/>
          <w:szCs w:val="24"/>
          <w:lang w:val="en-US"/>
        </w:rPr>
        <w:t xml:space="preserve"> </w:t>
      </w:r>
      <w:r w:rsidR="00E70E09" w:rsidRPr="00633874">
        <w:rPr>
          <w:sz w:val="24"/>
          <w:szCs w:val="24"/>
          <w:lang w:val="en-US"/>
        </w:rPr>
        <w:t xml:space="preserve">and </w:t>
      </w:r>
      <w:r w:rsidR="00633874" w:rsidRPr="00633874">
        <w:rPr>
          <w:sz w:val="24"/>
          <w:szCs w:val="24"/>
          <w:lang w:val="en-US"/>
        </w:rPr>
        <w:t xml:space="preserve">curbing </w:t>
      </w:r>
      <w:r w:rsidR="00E70E09" w:rsidRPr="00633874">
        <w:rPr>
          <w:sz w:val="24"/>
          <w:szCs w:val="24"/>
          <w:lang w:val="en-US"/>
        </w:rPr>
        <w:t xml:space="preserve">externalities </w:t>
      </w:r>
      <w:r w:rsidR="00611297" w:rsidRPr="00633874">
        <w:rPr>
          <w:sz w:val="24"/>
          <w:szCs w:val="24"/>
          <w:lang w:val="en-US"/>
        </w:rPr>
        <w:t xml:space="preserve">can be very </w:t>
      </w:r>
      <w:r w:rsidR="00346542" w:rsidRPr="00633874">
        <w:rPr>
          <w:sz w:val="24"/>
          <w:szCs w:val="24"/>
          <w:lang w:val="en-US"/>
        </w:rPr>
        <w:t>difficult in practice</w:t>
      </w:r>
      <w:r w:rsidR="00633874" w:rsidRPr="00633874">
        <w:rPr>
          <w:sz w:val="24"/>
          <w:szCs w:val="24"/>
          <w:lang w:val="en-US"/>
        </w:rPr>
        <w:t xml:space="preserve">. In the </w:t>
      </w:r>
      <w:r w:rsidR="00D5102C" w:rsidRPr="00633874">
        <w:rPr>
          <w:sz w:val="24"/>
          <w:szCs w:val="24"/>
          <w:lang w:val="en-US"/>
        </w:rPr>
        <w:t xml:space="preserve">absence of a sophisticated </w:t>
      </w:r>
      <w:r w:rsidR="00D5102C" w:rsidRPr="00633874">
        <w:rPr>
          <w:sz w:val="24"/>
          <w:szCs w:val="24"/>
          <w:lang w:val="en-US"/>
        </w:rPr>
        <w:lastRenderedPageBreak/>
        <w:t>institutional infrastruc</w:t>
      </w:r>
      <w:r w:rsidR="00B70443" w:rsidRPr="00633874">
        <w:rPr>
          <w:sz w:val="24"/>
          <w:szCs w:val="24"/>
          <w:lang w:val="en-US"/>
        </w:rPr>
        <w:t>ture</w:t>
      </w:r>
      <w:r w:rsidR="00346542" w:rsidRPr="00633874">
        <w:rPr>
          <w:sz w:val="24"/>
          <w:szCs w:val="24"/>
          <w:lang w:val="en-US"/>
        </w:rPr>
        <w:t xml:space="preserve"> able</w:t>
      </w:r>
      <w:r w:rsidR="00BF697A" w:rsidRPr="00633874">
        <w:rPr>
          <w:sz w:val="24"/>
          <w:szCs w:val="24"/>
          <w:lang w:val="en-US"/>
        </w:rPr>
        <w:t xml:space="preserve"> t</w:t>
      </w:r>
      <w:r w:rsidR="00346542" w:rsidRPr="00633874">
        <w:rPr>
          <w:sz w:val="24"/>
          <w:szCs w:val="24"/>
          <w:lang w:val="en-US"/>
        </w:rPr>
        <w:t xml:space="preserve">o </w:t>
      </w:r>
      <w:r w:rsidR="00633874" w:rsidRPr="00633874">
        <w:rPr>
          <w:sz w:val="24"/>
          <w:szCs w:val="24"/>
          <w:lang w:val="en-US"/>
        </w:rPr>
        <w:t>restrain</w:t>
      </w:r>
      <w:r w:rsidR="00346542" w:rsidRPr="00633874">
        <w:rPr>
          <w:sz w:val="24"/>
          <w:szCs w:val="24"/>
          <w:lang w:val="en-US"/>
        </w:rPr>
        <w:t xml:space="preserve"> such costs</w:t>
      </w:r>
      <w:r w:rsidR="00471A23" w:rsidRPr="00633874">
        <w:rPr>
          <w:sz w:val="24"/>
          <w:szCs w:val="24"/>
          <w:lang w:val="en-US"/>
        </w:rPr>
        <w:t xml:space="preserve">, </w:t>
      </w:r>
      <w:r w:rsidR="002573AF" w:rsidRPr="00633874">
        <w:rPr>
          <w:sz w:val="24"/>
          <w:szCs w:val="24"/>
          <w:lang w:val="en-US"/>
        </w:rPr>
        <w:t xml:space="preserve">it may </w:t>
      </w:r>
      <w:r w:rsidR="00743244" w:rsidRPr="00633874">
        <w:rPr>
          <w:sz w:val="24"/>
          <w:szCs w:val="24"/>
          <w:lang w:val="en-US"/>
        </w:rPr>
        <w:t xml:space="preserve">be more efficient to mitigate or eliminate </w:t>
      </w:r>
      <w:r w:rsidR="00A3247A">
        <w:rPr>
          <w:sz w:val="24"/>
          <w:szCs w:val="24"/>
          <w:lang w:val="en-US"/>
        </w:rPr>
        <w:t>their source</w:t>
      </w:r>
      <w:r w:rsidR="00E44957">
        <w:rPr>
          <w:sz w:val="24"/>
          <w:szCs w:val="24"/>
          <w:lang w:val="en-US"/>
        </w:rPr>
        <w:t>—</w:t>
      </w:r>
      <w:r w:rsidR="005842E1" w:rsidRPr="00633874">
        <w:rPr>
          <w:sz w:val="24"/>
          <w:szCs w:val="24"/>
          <w:lang w:val="en-US"/>
        </w:rPr>
        <w:t xml:space="preserve">the very element of the corporate form that </w:t>
      </w:r>
      <w:r w:rsidR="00614C6B" w:rsidRPr="00633874">
        <w:rPr>
          <w:sz w:val="24"/>
          <w:szCs w:val="24"/>
          <w:lang w:val="en-US"/>
        </w:rPr>
        <w:t>gave rise to</w:t>
      </w:r>
      <w:r w:rsidR="005842E1" w:rsidRPr="00633874">
        <w:rPr>
          <w:sz w:val="24"/>
          <w:szCs w:val="24"/>
          <w:lang w:val="en-US"/>
        </w:rPr>
        <w:t xml:space="preserve"> the problem in the first place</w:t>
      </w:r>
      <w:r w:rsidR="00743244" w:rsidRPr="00633874">
        <w:rPr>
          <w:sz w:val="24"/>
          <w:szCs w:val="24"/>
          <w:lang w:val="en-US"/>
        </w:rPr>
        <w:t xml:space="preserve">. </w:t>
      </w:r>
    </w:p>
    <w:p w:rsidR="00B152C7" w:rsidRDefault="0076057A" w:rsidP="00260800">
      <w:pPr>
        <w:ind w:firstLine="708"/>
        <w:jc w:val="both"/>
        <w:rPr>
          <w:sz w:val="24"/>
          <w:szCs w:val="24"/>
          <w:lang w:val="en-US"/>
        </w:rPr>
      </w:pPr>
      <w:r w:rsidRPr="00633874">
        <w:rPr>
          <w:sz w:val="24"/>
          <w:szCs w:val="24"/>
          <w:lang w:val="en-US"/>
        </w:rPr>
        <w:t xml:space="preserve">For instance, high managerial agency costs, if unaddressed, may lead to a lesser degree of managerial delegation. </w:t>
      </w:r>
      <w:r w:rsidR="00CE17F5" w:rsidRPr="00633874">
        <w:rPr>
          <w:sz w:val="24"/>
          <w:szCs w:val="24"/>
          <w:lang w:val="en-US"/>
        </w:rPr>
        <w:t>T</w:t>
      </w:r>
      <w:r w:rsidRPr="00633874">
        <w:rPr>
          <w:sz w:val="24"/>
          <w:szCs w:val="24"/>
          <w:lang w:val="en-US"/>
        </w:rPr>
        <w:t xml:space="preserve">he lack of protection against minority exploitation through voice or liability may </w:t>
      </w:r>
      <w:r w:rsidR="00F11361" w:rsidRPr="00633874">
        <w:rPr>
          <w:sz w:val="24"/>
          <w:szCs w:val="24"/>
          <w:lang w:val="en-US"/>
        </w:rPr>
        <w:t>encourage</w:t>
      </w:r>
      <w:r w:rsidR="00346542" w:rsidRPr="00633874">
        <w:rPr>
          <w:sz w:val="24"/>
          <w:szCs w:val="24"/>
          <w:lang w:val="en-US"/>
        </w:rPr>
        <w:t xml:space="preserve"> the use of</w:t>
      </w:r>
      <w:r w:rsidRPr="00633874">
        <w:rPr>
          <w:sz w:val="24"/>
          <w:szCs w:val="24"/>
          <w:lang w:val="en-US"/>
        </w:rPr>
        <w:t xml:space="preserve"> alternative devices, such as </w:t>
      </w:r>
      <w:r w:rsidR="007530D7" w:rsidRPr="00633874">
        <w:rPr>
          <w:sz w:val="24"/>
          <w:szCs w:val="24"/>
          <w:lang w:val="en-US"/>
        </w:rPr>
        <w:t xml:space="preserve">strong </w:t>
      </w:r>
      <w:r w:rsidR="00BF697A" w:rsidRPr="00633874">
        <w:rPr>
          <w:sz w:val="24"/>
          <w:szCs w:val="24"/>
          <w:lang w:val="en-US"/>
        </w:rPr>
        <w:t>withdrawal</w:t>
      </w:r>
      <w:r w:rsidR="007530D7" w:rsidRPr="00633874">
        <w:rPr>
          <w:sz w:val="24"/>
          <w:szCs w:val="24"/>
          <w:lang w:val="en-US"/>
        </w:rPr>
        <w:t xml:space="preserve"> rights. </w:t>
      </w:r>
      <w:r w:rsidR="00346542" w:rsidRPr="00633874">
        <w:rPr>
          <w:sz w:val="24"/>
          <w:szCs w:val="24"/>
          <w:lang w:val="en-US"/>
        </w:rPr>
        <w:t xml:space="preserve">The </w:t>
      </w:r>
      <w:r w:rsidR="00CE17F5" w:rsidRPr="00633874">
        <w:rPr>
          <w:sz w:val="24"/>
          <w:szCs w:val="24"/>
          <w:lang w:val="en-US"/>
        </w:rPr>
        <w:t>absence of constraints against opportunism vis-à-vis creditors</w:t>
      </w:r>
      <w:r w:rsidR="007828C5" w:rsidRPr="00633874">
        <w:rPr>
          <w:sz w:val="24"/>
          <w:szCs w:val="24"/>
          <w:lang w:val="en-US"/>
        </w:rPr>
        <w:t xml:space="preserve">, or </w:t>
      </w:r>
      <w:r w:rsidR="00346542" w:rsidRPr="00633874">
        <w:rPr>
          <w:sz w:val="24"/>
          <w:szCs w:val="24"/>
          <w:lang w:val="en-US"/>
        </w:rPr>
        <w:t>weaknesses in the regulatory system in curbing externalities (such as systemic risk or environmental harm)</w:t>
      </w:r>
      <w:r w:rsidR="007828C5" w:rsidRPr="00633874">
        <w:rPr>
          <w:sz w:val="24"/>
          <w:szCs w:val="24"/>
          <w:lang w:val="en-US"/>
        </w:rPr>
        <w:t>,</w:t>
      </w:r>
      <w:r w:rsidR="00CE17F5" w:rsidRPr="00633874">
        <w:rPr>
          <w:sz w:val="24"/>
          <w:szCs w:val="24"/>
          <w:lang w:val="en-US"/>
        </w:rPr>
        <w:t xml:space="preserve"> could militate in favor of </w:t>
      </w:r>
      <w:r w:rsidR="00346542" w:rsidRPr="00633874">
        <w:rPr>
          <w:sz w:val="24"/>
          <w:szCs w:val="24"/>
          <w:lang w:val="en-US"/>
        </w:rPr>
        <w:t>diluting</w:t>
      </w:r>
      <w:r w:rsidR="00CE17F5" w:rsidRPr="00633874">
        <w:rPr>
          <w:sz w:val="24"/>
          <w:szCs w:val="24"/>
          <w:lang w:val="en-US"/>
        </w:rPr>
        <w:t xml:space="preserve"> the protection of limited liability</w:t>
      </w:r>
      <w:r w:rsidR="00346542" w:rsidRPr="00633874">
        <w:rPr>
          <w:sz w:val="24"/>
          <w:szCs w:val="24"/>
          <w:lang w:val="en-US"/>
        </w:rPr>
        <w:t>, or having the state intervene th</w:t>
      </w:r>
      <w:r w:rsidR="00640768" w:rsidRPr="00633874">
        <w:rPr>
          <w:sz w:val="24"/>
          <w:szCs w:val="24"/>
          <w:lang w:val="en-US"/>
        </w:rPr>
        <w:t>r</w:t>
      </w:r>
      <w:r w:rsidR="00346542" w:rsidRPr="00633874">
        <w:rPr>
          <w:sz w:val="24"/>
          <w:szCs w:val="24"/>
          <w:lang w:val="en-US"/>
        </w:rPr>
        <w:t xml:space="preserve">ough other means, as by </w:t>
      </w:r>
      <w:r w:rsidR="00637909" w:rsidRPr="00633874">
        <w:rPr>
          <w:sz w:val="24"/>
          <w:szCs w:val="24"/>
          <w:lang w:val="en-US"/>
        </w:rPr>
        <w:t>holding shares in major enterprises.</w:t>
      </w:r>
      <w:r w:rsidR="00EB1411" w:rsidRPr="00633874">
        <w:rPr>
          <w:sz w:val="24"/>
          <w:szCs w:val="24"/>
          <w:lang w:val="en-US"/>
        </w:rPr>
        <w:t xml:space="preserve"> </w:t>
      </w:r>
      <w:r w:rsidR="00633874" w:rsidRPr="00633874">
        <w:rPr>
          <w:sz w:val="24"/>
          <w:szCs w:val="24"/>
          <w:lang w:val="en-US"/>
        </w:rPr>
        <w:t xml:space="preserve">In this view, </w:t>
      </w:r>
      <w:proofErr w:type="spellStart"/>
      <w:r w:rsidR="00633874" w:rsidRPr="00633874">
        <w:rPr>
          <w:sz w:val="24"/>
          <w:szCs w:val="24"/>
          <w:lang w:val="en-US"/>
        </w:rPr>
        <w:t>decorporatization</w:t>
      </w:r>
      <w:proofErr w:type="spellEnd"/>
      <w:r w:rsidR="00633874" w:rsidRPr="00633874">
        <w:rPr>
          <w:sz w:val="24"/>
          <w:szCs w:val="24"/>
          <w:lang w:val="en-US"/>
        </w:rPr>
        <w:t xml:space="preserve"> is a second-best response to a weak institutional environment.</w:t>
      </w:r>
    </w:p>
    <w:p w:rsidR="00633874" w:rsidRPr="00633874" w:rsidRDefault="00FA179C" w:rsidP="00633874">
      <w:pPr>
        <w:ind w:firstLine="708"/>
        <w:jc w:val="both"/>
        <w:rPr>
          <w:sz w:val="24"/>
          <w:szCs w:val="24"/>
          <w:lang w:val="en-US"/>
        </w:rPr>
      </w:pPr>
      <w:r>
        <w:rPr>
          <w:sz w:val="24"/>
          <w:szCs w:val="24"/>
          <w:lang w:val="en-US"/>
        </w:rPr>
        <w:t>A different, though complementary,</w:t>
      </w:r>
      <w:r w:rsidR="003F2C6C">
        <w:rPr>
          <w:sz w:val="24"/>
          <w:szCs w:val="24"/>
          <w:lang w:val="en-US"/>
        </w:rPr>
        <w:t xml:space="preserve"> </w:t>
      </w:r>
      <w:r w:rsidR="003337F8">
        <w:rPr>
          <w:sz w:val="24"/>
          <w:szCs w:val="24"/>
          <w:lang w:val="en-US"/>
        </w:rPr>
        <w:t xml:space="preserve">efficiency account posits that, whatever </w:t>
      </w:r>
      <w:r w:rsidR="00633874">
        <w:rPr>
          <w:sz w:val="24"/>
          <w:szCs w:val="24"/>
          <w:lang w:val="en-US"/>
        </w:rPr>
        <w:t>its origins</w:t>
      </w:r>
      <w:r w:rsidR="00BE573C">
        <w:rPr>
          <w:sz w:val="24"/>
          <w:szCs w:val="24"/>
          <w:lang w:val="en-US"/>
        </w:rPr>
        <w:t xml:space="preserve"> and causes, the phenomenon of </w:t>
      </w:r>
      <w:proofErr w:type="spellStart"/>
      <w:r w:rsidR="00BE573C">
        <w:rPr>
          <w:sz w:val="24"/>
          <w:szCs w:val="24"/>
          <w:lang w:val="en-US"/>
        </w:rPr>
        <w:t>decorporatization</w:t>
      </w:r>
      <w:proofErr w:type="spellEnd"/>
      <w:r w:rsidR="00633874">
        <w:rPr>
          <w:sz w:val="24"/>
          <w:szCs w:val="24"/>
          <w:lang w:val="en-US"/>
        </w:rPr>
        <w:t xml:space="preserve"> is, to an important degree, self-reinforcing. The reason is that the different attributes of the corporate form are highly complementary to one another. </w:t>
      </w:r>
      <w:r w:rsidR="00534887">
        <w:rPr>
          <w:sz w:val="24"/>
          <w:szCs w:val="24"/>
          <w:lang w:val="en-US"/>
        </w:rPr>
        <w:t>O</w:t>
      </w:r>
      <w:r w:rsidR="00633874">
        <w:rPr>
          <w:sz w:val="24"/>
          <w:szCs w:val="24"/>
          <w:lang w:val="en-US"/>
        </w:rPr>
        <w:t>nce</w:t>
      </w:r>
      <w:r w:rsidR="00E44957">
        <w:rPr>
          <w:sz w:val="24"/>
          <w:szCs w:val="24"/>
          <w:lang w:val="en-US"/>
        </w:rPr>
        <w:t xml:space="preserve"> one or some of the</w:t>
      </w:r>
      <w:r w:rsidR="00633874">
        <w:rPr>
          <w:sz w:val="24"/>
          <w:szCs w:val="24"/>
          <w:lang w:val="en-US"/>
        </w:rPr>
        <w:t xml:space="preserve"> element</w:t>
      </w:r>
      <w:r w:rsidR="00E44957">
        <w:rPr>
          <w:sz w:val="24"/>
          <w:szCs w:val="24"/>
          <w:lang w:val="en-US"/>
        </w:rPr>
        <w:t>s</w:t>
      </w:r>
      <w:r w:rsidR="00633874">
        <w:rPr>
          <w:sz w:val="24"/>
          <w:szCs w:val="24"/>
          <w:lang w:val="en-US"/>
        </w:rPr>
        <w:t xml:space="preserve"> of the corporate form </w:t>
      </w:r>
      <w:r w:rsidR="00E44957">
        <w:rPr>
          <w:sz w:val="24"/>
          <w:szCs w:val="24"/>
          <w:lang w:val="en-US"/>
        </w:rPr>
        <w:t>are</w:t>
      </w:r>
      <w:r w:rsidR="00633874">
        <w:rPr>
          <w:sz w:val="24"/>
          <w:szCs w:val="24"/>
          <w:lang w:val="en-US"/>
        </w:rPr>
        <w:t xml:space="preserve"> gone—for whatever reason—there is a stronger case for diluting the other elements as well. For instance, the shareholders’ newly found ability to withdraw capital from the firm harms creditors, and therefore strengthens the case for unlimited liability for corporate debts. </w:t>
      </w:r>
      <w:r w:rsidR="00297939">
        <w:rPr>
          <w:sz w:val="24"/>
          <w:szCs w:val="24"/>
          <w:lang w:val="en-US"/>
        </w:rPr>
        <w:t>However,</w:t>
      </w:r>
      <w:r w:rsidR="00633874">
        <w:rPr>
          <w:sz w:val="24"/>
          <w:szCs w:val="24"/>
          <w:lang w:val="en-US"/>
        </w:rPr>
        <w:t xml:space="preserve"> the reverse is also true: the application of unlimited liability to minority shareholders provides an argument for granting minority shareholders meaningful exit rights. The prospect of unlimited liability also creates strong incentives for shareholders to take an active part in firm management, reducing their willingness to delegate power to the board. </w:t>
      </w:r>
      <w:r w:rsidR="00297939">
        <w:rPr>
          <w:sz w:val="24"/>
          <w:szCs w:val="24"/>
          <w:lang w:val="en-US"/>
        </w:rPr>
        <w:t>In turn,</w:t>
      </w:r>
      <w:r w:rsidR="00633874">
        <w:rPr>
          <w:sz w:val="24"/>
          <w:szCs w:val="24"/>
          <w:lang w:val="en-US"/>
        </w:rPr>
        <w:t xml:space="preserve"> the absence of capital lock-in, limited liability, and delegated management weakens private legal entities, and, consequently, private enterprise, thereby encouraging state ownership as an alternative.  </w:t>
      </w:r>
    </w:p>
    <w:p w:rsidR="00152E30" w:rsidRDefault="00A56C84" w:rsidP="00260800">
      <w:pPr>
        <w:ind w:firstLine="708"/>
        <w:jc w:val="both"/>
        <w:rPr>
          <w:sz w:val="24"/>
          <w:szCs w:val="24"/>
          <w:lang w:val="en-US"/>
        </w:rPr>
      </w:pPr>
      <w:r w:rsidRPr="003337F8">
        <w:rPr>
          <w:sz w:val="24"/>
          <w:szCs w:val="24"/>
          <w:lang w:val="en-US"/>
        </w:rPr>
        <w:t xml:space="preserve">Another view </w:t>
      </w:r>
      <w:r w:rsidR="0062387F" w:rsidRPr="003337F8">
        <w:rPr>
          <w:sz w:val="24"/>
          <w:szCs w:val="24"/>
          <w:lang w:val="en-US"/>
        </w:rPr>
        <w:t xml:space="preserve">is that </w:t>
      </w:r>
      <w:proofErr w:type="spellStart"/>
      <w:r w:rsidR="00D84151" w:rsidRPr="003337F8">
        <w:rPr>
          <w:sz w:val="24"/>
          <w:szCs w:val="24"/>
          <w:lang w:val="en-US"/>
        </w:rPr>
        <w:t>de</w:t>
      </w:r>
      <w:r w:rsidR="00C55CB7">
        <w:rPr>
          <w:sz w:val="24"/>
          <w:szCs w:val="24"/>
          <w:lang w:val="en-US"/>
        </w:rPr>
        <w:t>corporatization</w:t>
      </w:r>
      <w:proofErr w:type="spellEnd"/>
      <w:r w:rsidR="0028263D" w:rsidRPr="003337F8">
        <w:rPr>
          <w:sz w:val="24"/>
          <w:szCs w:val="24"/>
          <w:lang w:val="en-US"/>
        </w:rPr>
        <w:t xml:space="preserve"> in Brazil</w:t>
      </w:r>
      <w:r w:rsidR="00B97C95" w:rsidRPr="003337F8">
        <w:rPr>
          <w:sz w:val="24"/>
          <w:szCs w:val="24"/>
          <w:lang w:val="en-US"/>
        </w:rPr>
        <w:t xml:space="preserve"> is</w:t>
      </w:r>
      <w:r w:rsidR="0062387F" w:rsidRPr="003337F8">
        <w:rPr>
          <w:sz w:val="24"/>
          <w:szCs w:val="24"/>
          <w:lang w:val="en-US"/>
        </w:rPr>
        <w:t xml:space="preserve"> best explained by </w:t>
      </w:r>
      <w:r w:rsidR="003337F8" w:rsidRPr="003337F8">
        <w:rPr>
          <w:sz w:val="24"/>
          <w:szCs w:val="24"/>
          <w:lang w:val="en-US"/>
        </w:rPr>
        <w:t xml:space="preserve">distribution </w:t>
      </w:r>
      <w:r w:rsidR="00CD3EFF" w:rsidRPr="003337F8">
        <w:rPr>
          <w:sz w:val="24"/>
          <w:szCs w:val="24"/>
          <w:lang w:val="en-US"/>
        </w:rPr>
        <w:t>considerations</w:t>
      </w:r>
      <w:r w:rsidR="0062387F" w:rsidRPr="003337F8">
        <w:rPr>
          <w:sz w:val="24"/>
          <w:szCs w:val="24"/>
          <w:lang w:val="en-US"/>
        </w:rPr>
        <w:t xml:space="preserve">. </w:t>
      </w:r>
      <w:r w:rsidR="003337F8">
        <w:rPr>
          <w:sz w:val="24"/>
          <w:szCs w:val="24"/>
          <w:lang w:val="en-US"/>
        </w:rPr>
        <w:t>Brazil might have</w:t>
      </w:r>
      <w:r w:rsidR="00F72777" w:rsidRPr="00FD6B58">
        <w:rPr>
          <w:sz w:val="24"/>
          <w:szCs w:val="24"/>
          <w:lang w:val="en-US"/>
        </w:rPr>
        <w:t xml:space="preserve"> weak</w:t>
      </w:r>
      <w:r w:rsidR="00B97C95">
        <w:rPr>
          <w:sz w:val="24"/>
          <w:szCs w:val="24"/>
          <w:lang w:val="en-US"/>
        </w:rPr>
        <w:t xml:space="preserve">ened the core corporate attributes </w:t>
      </w:r>
      <w:r w:rsidR="00F72777" w:rsidRPr="00FD6B58">
        <w:rPr>
          <w:sz w:val="24"/>
          <w:szCs w:val="24"/>
          <w:lang w:val="en-US"/>
        </w:rPr>
        <w:t xml:space="preserve">not </w:t>
      </w:r>
      <w:r w:rsidR="0054429C" w:rsidRPr="00FD6B58">
        <w:rPr>
          <w:sz w:val="24"/>
          <w:szCs w:val="24"/>
          <w:lang w:val="en-US"/>
        </w:rPr>
        <w:t>to increase</w:t>
      </w:r>
      <w:r w:rsidR="002D510D" w:rsidRPr="00FD6B58">
        <w:rPr>
          <w:sz w:val="24"/>
          <w:szCs w:val="24"/>
          <w:lang w:val="en-US"/>
        </w:rPr>
        <w:t xml:space="preserve"> the size of the pie, but </w:t>
      </w:r>
      <w:r w:rsidR="0054429C" w:rsidRPr="00FD6B58">
        <w:rPr>
          <w:sz w:val="24"/>
          <w:szCs w:val="24"/>
          <w:lang w:val="en-US"/>
        </w:rPr>
        <w:t>to provide</w:t>
      </w:r>
      <w:r w:rsidR="00657B21" w:rsidRPr="00FD6B58">
        <w:rPr>
          <w:sz w:val="24"/>
          <w:szCs w:val="24"/>
          <w:lang w:val="en-US"/>
        </w:rPr>
        <w:t xml:space="preserve"> a greater s</w:t>
      </w:r>
      <w:r w:rsidR="0054429C" w:rsidRPr="00FD6B58">
        <w:rPr>
          <w:sz w:val="24"/>
          <w:szCs w:val="24"/>
          <w:lang w:val="en-US"/>
        </w:rPr>
        <w:t>lice</w:t>
      </w:r>
      <w:r w:rsidR="00657B21" w:rsidRPr="00FD6B58">
        <w:rPr>
          <w:sz w:val="24"/>
          <w:szCs w:val="24"/>
          <w:lang w:val="en-US"/>
        </w:rPr>
        <w:t xml:space="preserve"> of </w:t>
      </w:r>
      <w:r w:rsidR="00E70E09">
        <w:rPr>
          <w:sz w:val="24"/>
          <w:szCs w:val="24"/>
          <w:lang w:val="en-US"/>
        </w:rPr>
        <w:t>it</w:t>
      </w:r>
      <w:r w:rsidR="002D510D" w:rsidRPr="00FD6B58">
        <w:rPr>
          <w:sz w:val="24"/>
          <w:szCs w:val="24"/>
          <w:lang w:val="en-US"/>
        </w:rPr>
        <w:t xml:space="preserve"> </w:t>
      </w:r>
      <w:r w:rsidR="005B610B" w:rsidRPr="00FD6B58">
        <w:rPr>
          <w:sz w:val="24"/>
          <w:szCs w:val="24"/>
          <w:lang w:val="en-US"/>
        </w:rPr>
        <w:t>to the parties that are more likely to be economically vul</w:t>
      </w:r>
      <w:r w:rsidR="004B2513" w:rsidRPr="00FD6B58">
        <w:rPr>
          <w:sz w:val="24"/>
          <w:szCs w:val="24"/>
          <w:lang w:val="en-US"/>
        </w:rPr>
        <w:t>nerable</w:t>
      </w:r>
      <w:r w:rsidR="00B97C95">
        <w:rPr>
          <w:sz w:val="24"/>
          <w:szCs w:val="24"/>
          <w:lang w:val="en-US"/>
        </w:rPr>
        <w:t xml:space="preserve">, such as minority shareholders, workers, consumers, and </w:t>
      </w:r>
      <w:r w:rsidR="00EE0A7E">
        <w:rPr>
          <w:sz w:val="24"/>
          <w:szCs w:val="24"/>
          <w:lang w:val="en-US"/>
        </w:rPr>
        <w:t xml:space="preserve">environmental </w:t>
      </w:r>
      <w:r w:rsidR="00B97C95">
        <w:rPr>
          <w:sz w:val="24"/>
          <w:szCs w:val="24"/>
          <w:lang w:val="en-US"/>
        </w:rPr>
        <w:t>stakeholders</w:t>
      </w:r>
      <w:r w:rsidR="004B2513" w:rsidRPr="00FD6B58">
        <w:rPr>
          <w:sz w:val="24"/>
          <w:szCs w:val="24"/>
          <w:lang w:val="en-US"/>
        </w:rPr>
        <w:t>.</w:t>
      </w:r>
      <w:r w:rsidR="00C54B40">
        <w:rPr>
          <w:sz w:val="24"/>
          <w:szCs w:val="24"/>
          <w:lang w:val="en-US"/>
        </w:rPr>
        <w:t xml:space="preserve"> The mitigation of corporate attributes is also instrumental to the implementation of other public policies seeking to insure that heirs and spouses receive their fair share of assets in the event of death or divorce.</w:t>
      </w:r>
      <w:r w:rsidR="004B2513" w:rsidRPr="00FD6B58">
        <w:rPr>
          <w:sz w:val="24"/>
          <w:szCs w:val="24"/>
          <w:lang w:val="en-US"/>
        </w:rPr>
        <w:t xml:space="preserve"> </w:t>
      </w:r>
    </w:p>
    <w:p w:rsidR="00E71CF4" w:rsidRDefault="0087254E" w:rsidP="00260800">
      <w:pPr>
        <w:ind w:firstLine="708"/>
        <w:jc w:val="both"/>
        <w:rPr>
          <w:sz w:val="24"/>
          <w:szCs w:val="24"/>
          <w:lang w:val="en-US"/>
        </w:rPr>
      </w:pPr>
      <w:r>
        <w:rPr>
          <w:sz w:val="24"/>
          <w:szCs w:val="24"/>
          <w:lang w:val="en-US"/>
        </w:rPr>
        <w:t>L</w:t>
      </w:r>
      <w:r w:rsidR="00100FD8">
        <w:rPr>
          <w:sz w:val="24"/>
          <w:szCs w:val="24"/>
          <w:lang w:val="en-US"/>
        </w:rPr>
        <w:t xml:space="preserve">aw-and-economics </w:t>
      </w:r>
      <w:r>
        <w:rPr>
          <w:sz w:val="24"/>
          <w:szCs w:val="24"/>
          <w:lang w:val="en-US"/>
        </w:rPr>
        <w:t>scholarship</w:t>
      </w:r>
      <w:r w:rsidR="00B97C95">
        <w:rPr>
          <w:sz w:val="24"/>
          <w:szCs w:val="24"/>
          <w:lang w:val="en-US"/>
        </w:rPr>
        <w:t xml:space="preserve"> has </w:t>
      </w:r>
      <w:r w:rsidR="00100FD8">
        <w:rPr>
          <w:sz w:val="24"/>
          <w:szCs w:val="24"/>
          <w:lang w:val="en-US"/>
        </w:rPr>
        <w:t xml:space="preserve">traditionally abhorred </w:t>
      </w:r>
      <w:r w:rsidR="00152E30">
        <w:rPr>
          <w:sz w:val="24"/>
          <w:szCs w:val="24"/>
          <w:lang w:val="en-US"/>
        </w:rPr>
        <w:t>the pursuit of distributional goals through private law</w:t>
      </w:r>
      <w:r w:rsidR="00674A63">
        <w:rPr>
          <w:sz w:val="24"/>
          <w:szCs w:val="24"/>
          <w:lang w:val="en-US"/>
        </w:rPr>
        <w:t xml:space="preserve">. The reason is that, at least in theory, the tax-and-transfer system </w:t>
      </w:r>
      <w:r w:rsidR="00ED5363">
        <w:rPr>
          <w:sz w:val="24"/>
          <w:szCs w:val="24"/>
          <w:lang w:val="en-US"/>
        </w:rPr>
        <w:t>is superior in</w:t>
      </w:r>
      <w:r w:rsidR="00674A63">
        <w:rPr>
          <w:sz w:val="24"/>
          <w:szCs w:val="24"/>
          <w:lang w:val="en-US"/>
        </w:rPr>
        <w:t xml:space="preserve"> </w:t>
      </w:r>
      <w:r w:rsidR="00100FD8">
        <w:rPr>
          <w:sz w:val="24"/>
          <w:szCs w:val="24"/>
          <w:lang w:val="en-US"/>
        </w:rPr>
        <w:t>accomplish</w:t>
      </w:r>
      <w:r w:rsidR="00ED5363">
        <w:rPr>
          <w:sz w:val="24"/>
          <w:szCs w:val="24"/>
          <w:lang w:val="en-US"/>
        </w:rPr>
        <w:t>ing</w:t>
      </w:r>
      <w:r w:rsidR="00100FD8">
        <w:rPr>
          <w:sz w:val="24"/>
          <w:szCs w:val="24"/>
          <w:lang w:val="en-US"/>
        </w:rPr>
        <w:t xml:space="preserve"> distributional outcomes.</w:t>
      </w:r>
      <w:r w:rsidR="008B64CF">
        <w:rPr>
          <w:rStyle w:val="Refdenotaderodap"/>
          <w:sz w:val="24"/>
          <w:szCs w:val="24"/>
          <w:lang w:val="en-US"/>
        </w:rPr>
        <w:footnoteReference w:id="17"/>
      </w:r>
      <w:r w:rsidR="00100FD8">
        <w:rPr>
          <w:sz w:val="24"/>
          <w:szCs w:val="24"/>
          <w:lang w:val="en-US"/>
        </w:rPr>
        <w:t xml:space="preserve"> </w:t>
      </w:r>
      <w:r w:rsidR="00DB5454">
        <w:rPr>
          <w:sz w:val="24"/>
          <w:szCs w:val="24"/>
          <w:lang w:val="en-US"/>
        </w:rPr>
        <w:t>Yet</w:t>
      </w:r>
      <w:r w:rsidR="00100FD8">
        <w:rPr>
          <w:sz w:val="24"/>
          <w:szCs w:val="24"/>
          <w:lang w:val="en-US"/>
        </w:rPr>
        <w:t xml:space="preserve"> the incorporation of distribution concerns into private law adjudication has recently </w:t>
      </w:r>
      <w:r w:rsidR="00100FD8">
        <w:rPr>
          <w:sz w:val="24"/>
          <w:szCs w:val="24"/>
          <w:lang w:val="en-US"/>
        </w:rPr>
        <w:lastRenderedPageBreak/>
        <w:t>encountered renewed favor</w:t>
      </w:r>
      <w:r w:rsidR="00E71CF4">
        <w:rPr>
          <w:sz w:val="24"/>
          <w:szCs w:val="24"/>
          <w:lang w:val="en-US"/>
        </w:rPr>
        <w:t xml:space="preserve"> even</w:t>
      </w:r>
      <w:r w:rsidR="009E6D34">
        <w:rPr>
          <w:sz w:val="24"/>
          <w:szCs w:val="24"/>
          <w:lang w:val="en-US"/>
        </w:rPr>
        <w:t xml:space="preserve"> among </w:t>
      </w:r>
      <w:r w:rsidR="00A9697C">
        <w:rPr>
          <w:sz w:val="24"/>
          <w:szCs w:val="24"/>
          <w:lang w:val="en-US"/>
        </w:rPr>
        <w:t>economically oriented</w:t>
      </w:r>
      <w:r w:rsidR="009E6D34">
        <w:rPr>
          <w:sz w:val="24"/>
          <w:szCs w:val="24"/>
          <w:lang w:val="en-US"/>
        </w:rPr>
        <w:t xml:space="preserve"> scholars</w:t>
      </w:r>
      <w:r w:rsidR="00E71CF4">
        <w:rPr>
          <w:sz w:val="24"/>
          <w:szCs w:val="24"/>
          <w:lang w:val="en-US"/>
        </w:rPr>
        <w:t xml:space="preserve"> in the United States</w:t>
      </w:r>
      <w:r w:rsidR="00C87D8C">
        <w:rPr>
          <w:sz w:val="24"/>
          <w:szCs w:val="24"/>
          <w:lang w:val="en-US"/>
        </w:rPr>
        <w:t xml:space="preserve">, </w:t>
      </w:r>
      <w:r w:rsidR="001F3508">
        <w:rPr>
          <w:sz w:val="24"/>
          <w:szCs w:val="24"/>
          <w:lang w:val="en-US"/>
        </w:rPr>
        <w:t xml:space="preserve">given the growing recognition of the </w:t>
      </w:r>
      <w:r w:rsidR="00E70E09">
        <w:rPr>
          <w:sz w:val="24"/>
          <w:szCs w:val="24"/>
          <w:lang w:val="en-US"/>
        </w:rPr>
        <w:t>costs and political hurdles to an</w:t>
      </w:r>
      <w:r w:rsidR="00C87D8C">
        <w:rPr>
          <w:sz w:val="24"/>
          <w:szCs w:val="24"/>
          <w:lang w:val="en-US"/>
        </w:rPr>
        <w:t xml:space="preserve"> effective tax-and-transfer system</w:t>
      </w:r>
      <w:r w:rsidR="00100FD8">
        <w:rPr>
          <w:sz w:val="24"/>
          <w:szCs w:val="24"/>
          <w:lang w:val="en-US"/>
        </w:rPr>
        <w:t>.</w:t>
      </w:r>
      <w:r w:rsidR="00F60E0E">
        <w:rPr>
          <w:rStyle w:val="Refdenotaderodap"/>
          <w:sz w:val="24"/>
          <w:szCs w:val="24"/>
          <w:lang w:val="en-US"/>
        </w:rPr>
        <w:footnoteReference w:id="18"/>
      </w:r>
      <w:r w:rsidR="00100FD8">
        <w:rPr>
          <w:sz w:val="24"/>
          <w:szCs w:val="24"/>
          <w:lang w:val="en-US"/>
        </w:rPr>
        <w:t xml:space="preserve"> </w:t>
      </w:r>
    </w:p>
    <w:p w:rsidR="0062387F" w:rsidRDefault="00A9697C" w:rsidP="006E11F4">
      <w:pPr>
        <w:ind w:firstLine="708"/>
        <w:jc w:val="both"/>
        <w:rPr>
          <w:sz w:val="24"/>
          <w:szCs w:val="24"/>
          <w:lang w:val="en-US"/>
        </w:rPr>
      </w:pPr>
      <w:r>
        <w:rPr>
          <w:sz w:val="24"/>
          <w:szCs w:val="24"/>
          <w:lang w:val="en-US"/>
        </w:rPr>
        <w:t xml:space="preserve">In Brazil, </w:t>
      </w:r>
      <w:r w:rsidR="00632A91">
        <w:rPr>
          <w:sz w:val="24"/>
          <w:szCs w:val="24"/>
          <w:lang w:val="en-US"/>
        </w:rPr>
        <w:t>the incorporation of distributional objectives</w:t>
      </w:r>
      <w:r w:rsidR="00E71CF4">
        <w:rPr>
          <w:sz w:val="24"/>
          <w:szCs w:val="24"/>
          <w:lang w:val="en-US"/>
        </w:rPr>
        <w:t xml:space="preserve"> </w:t>
      </w:r>
      <w:r w:rsidR="00E6768A">
        <w:rPr>
          <w:sz w:val="24"/>
          <w:szCs w:val="24"/>
          <w:lang w:val="en-US"/>
        </w:rPr>
        <w:t xml:space="preserve">into corporate law </w:t>
      </w:r>
      <w:r w:rsidR="008038DB">
        <w:rPr>
          <w:sz w:val="24"/>
          <w:szCs w:val="24"/>
          <w:lang w:val="en-US"/>
        </w:rPr>
        <w:t>seem</w:t>
      </w:r>
      <w:r w:rsidR="00632A91">
        <w:rPr>
          <w:sz w:val="24"/>
          <w:szCs w:val="24"/>
          <w:lang w:val="en-US"/>
        </w:rPr>
        <w:t>s</w:t>
      </w:r>
      <w:r w:rsidR="008038DB">
        <w:rPr>
          <w:sz w:val="24"/>
          <w:szCs w:val="24"/>
          <w:lang w:val="en-US"/>
        </w:rPr>
        <w:t xml:space="preserve"> particularly fitting to </w:t>
      </w:r>
      <w:r w:rsidR="00E6768A">
        <w:rPr>
          <w:sz w:val="24"/>
          <w:szCs w:val="24"/>
          <w:lang w:val="en-US"/>
        </w:rPr>
        <w:t xml:space="preserve">its </w:t>
      </w:r>
      <w:r w:rsidR="008038DB">
        <w:rPr>
          <w:sz w:val="24"/>
          <w:szCs w:val="24"/>
          <w:lang w:val="en-US"/>
        </w:rPr>
        <w:t>environment</w:t>
      </w:r>
      <w:r w:rsidR="00C7767D">
        <w:rPr>
          <w:sz w:val="24"/>
          <w:szCs w:val="24"/>
          <w:lang w:val="en-US"/>
        </w:rPr>
        <w:t xml:space="preserve">. Brazil’s </w:t>
      </w:r>
      <w:r w:rsidR="00C3585D">
        <w:rPr>
          <w:sz w:val="24"/>
          <w:szCs w:val="24"/>
          <w:lang w:val="en-US"/>
        </w:rPr>
        <w:t xml:space="preserve">activist judiciary </w:t>
      </w:r>
      <w:r w:rsidR="00EC36C4" w:rsidRPr="00FD6B58">
        <w:rPr>
          <w:sz w:val="24"/>
          <w:szCs w:val="24"/>
          <w:lang w:val="en-US"/>
        </w:rPr>
        <w:t xml:space="preserve">increasingly takes upon itself </w:t>
      </w:r>
      <w:r w:rsidR="009953EC">
        <w:rPr>
          <w:sz w:val="24"/>
          <w:szCs w:val="24"/>
          <w:lang w:val="en-US"/>
        </w:rPr>
        <w:t xml:space="preserve">the </w:t>
      </w:r>
      <w:r w:rsidR="00523673">
        <w:rPr>
          <w:sz w:val="24"/>
          <w:szCs w:val="24"/>
          <w:lang w:val="en-US"/>
        </w:rPr>
        <w:t>task</w:t>
      </w:r>
      <w:r w:rsidR="009953EC">
        <w:rPr>
          <w:sz w:val="24"/>
          <w:szCs w:val="24"/>
          <w:lang w:val="en-US"/>
        </w:rPr>
        <w:t xml:space="preserve"> of directly implementing</w:t>
      </w:r>
      <w:r w:rsidR="00EC36C4" w:rsidRPr="00FD6B58">
        <w:rPr>
          <w:sz w:val="24"/>
          <w:szCs w:val="24"/>
          <w:lang w:val="en-US"/>
        </w:rPr>
        <w:t xml:space="preserve"> the constitutional mandate for a “f</w:t>
      </w:r>
      <w:r w:rsidR="00C7767D">
        <w:rPr>
          <w:sz w:val="24"/>
          <w:szCs w:val="24"/>
          <w:lang w:val="en-US"/>
        </w:rPr>
        <w:t>ree, fair, and solidary society,</w:t>
      </w:r>
      <w:r w:rsidR="00EC36C4" w:rsidRPr="00FD6B58">
        <w:rPr>
          <w:sz w:val="24"/>
          <w:szCs w:val="24"/>
          <w:lang w:val="en-US"/>
        </w:rPr>
        <w:t>”</w:t>
      </w:r>
      <w:r w:rsidR="004C4EA4">
        <w:rPr>
          <w:rStyle w:val="Refdenotaderodap"/>
          <w:sz w:val="24"/>
          <w:szCs w:val="24"/>
          <w:lang w:val="en-US"/>
        </w:rPr>
        <w:footnoteReference w:id="19"/>
      </w:r>
      <w:r w:rsidR="00C7767D">
        <w:rPr>
          <w:sz w:val="24"/>
          <w:szCs w:val="24"/>
          <w:lang w:val="en-US"/>
        </w:rPr>
        <w:t xml:space="preserve"> as the country’s system of</w:t>
      </w:r>
      <w:r w:rsidR="00EC36C4" w:rsidRPr="00FD6B58">
        <w:rPr>
          <w:sz w:val="24"/>
          <w:szCs w:val="24"/>
          <w:lang w:val="en-US"/>
        </w:rPr>
        <w:t xml:space="preserve"> tax</w:t>
      </w:r>
      <w:r w:rsidR="00C7767D">
        <w:rPr>
          <w:sz w:val="24"/>
          <w:szCs w:val="24"/>
          <w:lang w:val="en-US"/>
        </w:rPr>
        <w:t>ation</w:t>
      </w:r>
      <w:r w:rsidR="00EC36C4" w:rsidRPr="00FD6B58">
        <w:rPr>
          <w:sz w:val="24"/>
          <w:szCs w:val="24"/>
          <w:lang w:val="en-US"/>
        </w:rPr>
        <w:t xml:space="preserve"> and spending has largely failed to redress </w:t>
      </w:r>
      <w:r w:rsidR="008038DB">
        <w:rPr>
          <w:sz w:val="24"/>
          <w:szCs w:val="24"/>
          <w:lang w:val="en-US"/>
        </w:rPr>
        <w:t>exceedingly</w:t>
      </w:r>
      <w:r w:rsidR="00B66E92" w:rsidRPr="00FD6B58">
        <w:rPr>
          <w:sz w:val="24"/>
          <w:szCs w:val="24"/>
          <w:lang w:val="en-US"/>
        </w:rPr>
        <w:t xml:space="preserve"> high levels of inequality.</w:t>
      </w:r>
      <w:r w:rsidR="00C3585D">
        <w:rPr>
          <w:rStyle w:val="Refdenotaderodap"/>
          <w:sz w:val="24"/>
          <w:szCs w:val="24"/>
          <w:lang w:val="en-US"/>
        </w:rPr>
        <w:footnoteReference w:id="20"/>
      </w:r>
      <w:r w:rsidR="00B66E92" w:rsidRPr="00FD6B58">
        <w:rPr>
          <w:sz w:val="24"/>
          <w:szCs w:val="24"/>
          <w:lang w:val="en-US"/>
        </w:rPr>
        <w:t xml:space="preserve"> </w:t>
      </w:r>
      <w:r w:rsidR="00FD6245">
        <w:rPr>
          <w:sz w:val="24"/>
          <w:szCs w:val="24"/>
          <w:lang w:val="en-US"/>
        </w:rPr>
        <w:t xml:space="preserve">In most respects, </w:t>
      </w:r>
      <w:proofErr w:type="spellStart"/>
      <w:r w:rsidR="00FD6245">
        <w:rPr>
          <w:sz w:val="24"/>
          <w:szCs w:val="24"/>
          <w:lang w:val="en-US"/>
        </w:rPr>
        <w:t>decorporatization</w:t>
      </w:r>
      <w:proofErr w:type="spellEnd"/>
      <w:r w:rsidR="00FD6245">
        <w:rPr>
          <w:sz w:val="24"/>
          <w:szCs w:val="24"/>
          <w:lang w:val="en-US"/>
        </w:rPr>
        <w:t xml:space="preserve"> seems to favor the interests of the economically weaker parties</w:t>
      </w:r>
      <w:r w:rsidR="00AE3D52">
        <w:rPr>
          <w:sz w:val="24"/>
          <w:szCs w:val="24"/>
          <w:lang w:val="en-US"/>
        </w:rPr>
        <w:t xml:space="preserve">, </w:t>
      </w:r>
      <w:r w:rsidR="00FD6245">
        <w:rPr>
          <w:sz w:val="24"/>
          <w:szCs w:val="24"/>
          <w:lang w:val="en-US"/>
        </w:rPr>
        <w:t xml:space="preserve">though the </w:t>
      </w:r>
      <w:r w:rsidR="00210764">
        <w:rPr>
          <w:sz w:val="24"/>
          <w:szCs w:val="24"/>
          <w:lang w:val="en-US"/>
        </w:rPr>
        <w:t>impact of this</w:t>
      </w:r>
      <w:r w:rsidR="00FD6245">
        <w:rPr>
          <w:sz w:val="24"/>
          <w:szCs w:val="24"/>
          <w:lang w:val="en-US"/>
        </w:rPr>
        <w:t xml:space="preserve"> move in </w:t>
      </w:r>
      <w:r w:rsidR="004D541D">
        <w:rPr>
          <w:sz w:val="24"/>
          <w:szCs w:val="24"/>
          <w:lang w:val="en-US"/>
        </w:rPr>
        <w:t xml:space="preserve">tackling </w:t>
      </w:r>
      <w:r w:rsidR="00FD6245">
        <w:rPr>
          <w:sz w:val="24"/>
          <w:szCs w:val="24"/>
          <w:lang w:val="en-US"/>
        </w:rPr>
        <w:t xml:space="preserve">inequality remains unclear. </w:t>
      </w:r>
    </w:p>
    <w:p w:rsidR="00743244" w:rsidRDefault="00C45E67" w:rsidP="00260800">
      <w:pPr>
        <w:ind w:firstLine="708"/>
        <w:jc w:val="both"/>
        <w:rPr>
          <w:sz w:val="24"/>
          <w:szCs w:val="24"/>
          <w:lang w:val="en-US"/>
        </w:rPr>
      </w:pPr>
      <w:r w:rsidRPr="00FD6B58">
        <w:rPr>
          <w:sz w:val="24"/>
          <w:szCs w:val="24"/>
          <w:lang w:val="en-US"/>
        </w:rPr>
        <w:t xml:space="preserve">The exposition </w:t>
      </w:r>
      <w:proofErr w:type="gramStart"/>
      <w:r w:rsidR="00AB58ED" w:rsidRPr="00FD6B58">
        <w:rPr>
          <w:sz w:val="24"/>
          <w:szCs w:val="24"/>
          <w:lang w:val="en-US"/>
        </w:rPr>
        <w:t>is organized</w:t>
      </w:r>
      <w:proofErr w:type="gramEnd"/>
      <w:r w:rsidRPr="00FD6B58">
        <w:rPr>
          <w:sz w:val="24"/>
          <w:szCs w:val="24"/>
          <w:lang w:val="en-US"/>
        </w:rPr>
        <w:t xml:space="preserve"> as follow</w:t>
      </w:r>
      <w:r w:rsidR="00AB58ED" w:rsidRPr="00FD6B58">
        <w:rPr>
          <w:sz w:val="24"/>
          <w:szCs w:val="24"/>
          <w:lang w:val="en-US"/>
        </w:rPr>
        <w:t xml:space="preserve">s. Part </w:t>
      </w:r>
      <w:r w:rsidR="002F6C68">
        <w:rPr>
          <w:sz w:val="24"/>
          <w:szCs w:val="24"/>
          <w:lang w:val="en-US"/>
        </w:rPr>
        <w:t>I</w:t>
      </w:r>
      <w:r w:rsidR="00AB58ED" w:rsidRPr="00FD6B58">
        <w:rPr>
          <w:sz w:val="24"/>
          <w:szCs w:val="24"/>
          <w:lang w:val="en-US"/>
        </w:rPr>
        <w:t xml:space="preserve"> </w:t>
      </w:r>
      <w:r w:rsidR="00E544D9" w:rsidRPr="00FD6B58">
        <w:rPr>
          <w:sz w:val="24"/>
          <w:szCs w:val="24"/>
          <w:lang w:val="en-US"/>
        </w:rPr>
        <w:t>describes</w:t>
      </w:r>
      <w:r w:rsidR="00215D8B" w:rsidRPr="00FD6B58">
        <w:rPr>
          <w:sz w:val="24"/>
          <w:szCs w:val="24"/>
          <w:lang w:val="en-US"/>
        </w:rPr>
        <w:t xml:space="preserve"> </w:t>
      </w:r>
      <w:r w:rsidR="003E2282">
        <w:rPr>
          <w:sz w:val="24"/>
          <w:szCs w:val="24"/>
          <w:lang w:val="en-US"/>
        </w:rPr>
        <w:t xml:space="preserve">how the core attributes of the corporate form have </w:t>
      </w:r>
      <w:r w:rsidR="00A23E4C">
        <w:rPr>
          <w:sz w:val="24"/>
          <w:szCs w:val="24"/>
          <w:lang w:val="en-US"/>
        </w:rPr>
        <w:t>lost force in the Brazilian context</w:t>
      </w:r>
      <w:r w:rsidR="002F0D31" w:rsidRPr="00FD6B58">
        <w:rPr>
          <w:sz w:val="24"/>
          <w:szCs w:val="24"/>
          <w:lang w:val="en-US"/>
        </w:rPr>
        <w:t xml:space="preserve">. </w:t>
      </w:r>
      <w:r w:rsidR="00215D8B" w:rsidRPr="00FD6B58">
        <w:rPr>
          <w:sz w:val="24"/>
          <w:szCs w:val="24"/>
          <w:lang w:val="en-US"/>
        </w:rPr>
        <w:t>Part II explores the reasons for the</w:t>
      </w:r>
      <w:r w:rsidR="003E2282">
        <w:rPr>
          <w:sz w:val="24"/>
          <w:szCs w:val="24"/>
          <w:lang w:val="en-US"/>
        </w:rPr>
        <w:t xml:space="preserve"> deviation from the canonical corporate attributes in Brazil</w:t>
      </w:r>
      <w:r w:rsidR="00215D8B" w:rsidRPr="00FD6B58">
        <w:rPr>
          <w:sz w:val="24"/>
          <w:szCs w:val="24"/>
          <w:lang w:val="en-US"/>
        </w:rPr>
        <w:t xml:space="preserve">, and their practical implications. </w:t>
      </w:r>
      <w:r w:rsidR="000B2D1C">
        <w:rPr>
          <w:sz w:val="24"/>
          <w:szCs w:val="24"/>
          <w:lang w:val="en-US"/>
        </w:rPr>
        <w:t xml:space="preserve">Part III speculates on the possible manifestations of this phenomenon beyond Brazil. </w:t>
      </w:r>
      <w:r w:rsidR="001A174F" w:rsidRPr="00FD6B58">
        <w:rPr>
          <w:sz w:val="24"/>
          <w:szCs w:val="24"/>
          <w:lang w:val="en-US"/>
        </w:rPr>
        <w:t>Part I</w:t>
      </w:r>
      <w:r w:rsidR="000B2D1C">
        <w:rPr>
          <w:sz w:val="24"/>
          <w:szCs w:val="24"/>
          <w:lang w:val="en-US"/>
        </w:rPr>
        <w:t>V</w:t>
      </w:r>
      <w:r w:rsidR="001A174F" w:rsidRPr="00FD6B58">
        <w:rPr>
          <w:sz w:val="24"/>
          <w:szCs w:val="24"/>
          <w:lang w:val="en-US"/>
        </w:rPr>
        <w:t xml:space="preserve"> </w:t>
      </w:r>
      <w:r w:rsidR="003E2282">
        <w:rPr>
          <w:sz w:val="24"/>
          <w:szCs w:val="24"/>
          <w:lang w:val="en-US"/>
        </w:rPr>
        <w:t xml:space="preserve">concludes by </w:t>
      </w:r>
      <w:r w:rsidR="001A174F" w:rsidRPr="00FD6B58">
        <w:rPr>
          <w:sz w:val="24"/>
          <w:szCs w:val="24"/>
          <w:lang w:val="en-US"/>
        </w:rPr>
        <w:t>reflect</w:t>
      </w:r>
      <w:r w:rsidR="003E2282">
        <w:rPr>
          <w:sz w:val="24"/>
          <w:szCs w:val="24"/>
          <w:lang w:val="en-US"/>
        </w:rPr>
        <w:t>ing</w:t>
      </w:r>
      <w:r w:rsidR="001A174F" w:rsidRPr="00FD6B58">
        <w:rPr>
          <w:sz w:val="24"/>
          <w:szCs w:val="24"/>
          <w:lang w:val="en-US"/>
        </w:rPr>
        <w:t xml:space="preserve"> on the lessons for comparative scholarship and organizational theory. </w:t>
      </w:r>
    </w:p>
    <w:p w:rsidR="00D0265D" w:rsidRPr="00E70E09" w:rsidRDefault="00D0265D" w:rsidP="008715C3">
      <w:pPr>
        <w:keepNext/>
        <w:jc w:val="both"/>
        <w:rPr>
          <w:b/>
          <w:sz w:val="24"/>
          <w:szCs w:val="24"/>
          <w:lang w:val="en-US"/>
        </w:rPr>
      </w:pPr>
      <w:r w:rsidRPr="00FD6B58">
        <w:rPr>
          <w:b/>
          <w:sz w:val="24"/>
          <w:szCs w:val="24"/>
          <w:lang w:val="en-US"/>
        </w:rPr>
        <w:t>I.</w:t>
      </w:r>
      <w:r w:rsidRPr="00FD6B58">
        <w:rPr>
          <w:b/>
          <w:sz w:val="24"/>
          <w:szCs w:val="24"/>
          <w:lang w:val="en-US"/>
        </w:rPr>
        <w:tab/>
        <w:t xml:space="preserve">Evolution (or Involution) of Corporate </w:t>
      </w:r>
      <w:r w:rsidR="00521E30">
        <w:rPr>
          <w:b/>
          <w:sz w:val="24"/>
          <w:szCs w:val="24"/>
          <w:lang w:val="en-US"/>
        </w:rPr>
        <w:t>Elements</w:t>
      </w:r>
      <w:r w:rsidR="00D06CC8" w:rsidRPr="00FD6B58">
        <w:rPr>
          <w:b/>
          <w:sz w:val="24"/>
          <w:szCs w:val="24"/>
          <w:lang w:val="en-US"/>
        </w:rPr>
        <w:t xml:space="preserve"> </w:t>
      </w:r>
      <w:r w:rsidRPr="00FD6B58">
        <w:rPr>
          <w:b/>
          <w:sz w:val="24"/>
          <w:szCs w:val="24"/>
          <w:lang w:val="en-US"/>
        </w:rPr>
        <w:t>in Brazil</w:t>
      </w:r>
    </w:p>
    <w:p w:rsidR="00D0265D" w:rsidRPr="00FD6B58" w:rsidRDefault="006072A9" w:rsidP="00260800">
      <w:pPr>
        <w:jc w:val="both"/>
        <w:rPr>
          <w:sz w:val="24"/>
          <w:szCs w:val="24"/>
          <w:lang w:val="en-US"/>
        </w:rPr>
      </w:pPr>
      <w:r w:rsidRPr="00FD6B58">
        <w:rPr>
          <w:sz w:val="24"/>
          <w:szCs w:val="24"/>
          <w:lang w:val="en-US"/>
        </w:rPr>
        <w:t xml:space="preserve">A. </w:t>
      </w:r>
      <w:r w:rsidR="00C14079" w:rsidRPr="00FD6B58">
        <w:rPr>
          <w:sz w:val="24"/>
          <w:szCs w:val="24"/>
          <w:lang w:val="en-US"/>
        </w:rPr>
        <w:tab/>
      </w:r>
      <w:r w:rsidRPr="00FD6B58">
        <w:rPr>
          <w:sz w:val="24"/>
          <w:szCs w:val="24"/>
          <w:lang w:val="en-US"/>
        </w:rPr>
        <w:t xml:space="preserve">Legal personality </w:t>
      </w:r>
      <w:r w:rsidR="00FE536E">
        <w:rPr>
          <w:sz w:val="24"/>
          <w:szCs w:val="24"/>
          <w:lang w:val="en-US"/>
        </w:rPr>
        <w:t>and lock-</w:t>
      </w:r>
      <w:r w:rsidR="00EE123B">
        <w:rPr>
          <w:sz w:val="24"/>
          <w:szCs w:val="24"/>
          <w:lang w:val="en-US"/>
        </w:rPr>
        <w:t>in</w:t>
      </w:r>
    </w:p>
    <w:p w:rsidR="00593C4A" w:rsidRPr="00FD6B58" w:rsidRDefault="00C14079" w:rsidP="00260800">
      <w:pPr>
        <w:jc w:val="both"/>
        <w:rPr>
          <w:sz w:val="24"/>
          <w:szCs w:val="24"/>
          <w:lang w:val="en-US"/>
        </w:rPr>
      </w:pPr>
      <w:r w:rsidRPr="00FD6B58">
        <w:rPr>
          <w:sz w:val="24"/>
          <w:szCs w:val="24"/>
          <w:lang w:val="en-US"/>
        </w:rPr>
        <w:tab/>
      </w:r>
      <w:r w:rsidR="00B116C9" w:rsidRPr="00FD6B58">
        <w:rPr>
          <w:sz w:val="24"/>
          <w:szCs w:val="24"/>
          <w:lang w:val="en-US"/>
        </w:rPr>
        <w:t>Let us</w:t>
      </w:r>
      <w:r w:rsidRPr="00FD6B58">
        <w:rPr>
          <w:sz w:val="24"/>
          <w:szCs w:val="24"/>
          <w:lang w:val="en-US"/>
        </w:rPr>
        <w:t xml:space="preserve"> begin by examining the first and </w:t>
      </w:r>
      <w:r w:rsidR="009E7ED2">
        <w:rPr>
          <w:sz w:val="24"/>
          <w:szCs w:val="24"/>
          <w:lang w:val="en-US"/>
        </w:rPr>
        <w:t xml:space="preserve">most </w:t>
      </w:r>
      <w:r w:rsidR="00161AD2">
        <w:rPr>
          <w:sz w:val="24"/>
          <w:szCs w:val="24"/>
          <w:lang w:val="en-US"/>
        </w:rPr>
        <w:t>basic</w:t>
      </w:r>
      <w:r w:rsidR="00E05938">
        <w:rPr>
          <w:sz w:val="24"/>
          <w:szCs w:val="24"/>
          <w:lang w:val="en-US"/>
        </w:rPr>
        <w:t xml:space="preserve"> attribute</w:t>
      </w:r>
      <w:r w:rsidRPr="00FD6B58">
        <w:rPr>
          <w:sz w:val="24"/>
          <w:szCs w:val="24"/>
          <w:lang w:val="en-US"/>
        </w:rPr>
        <w:t xml:space="preserve"> of the corporate form: legal personality</w:t>
      </w:r>
      <w:r w:rsidR="001E69F9" w:rsidRPr="00FD6B58">
        <w:rPr>
          <w:sz w:val="24"/>
          <w:szCs w:val="24"/>
          <w:lang w:val="en-US"/>
        </w:rPr>
        <w:t xml:space="preserve">. </w:t>
      </w:r>
      <w:r w:rsidR="00F87256" w:rsidRPr="00FD6B58">
        <w:rPr>
          <w:sz w:val="24"/>
          <w:szCs w:val="24"/>
          <w:lang w:val="en-US"/>
        </w:rPr>
        <w:t>At a fundamental level, this indicates the corporation’s ability to hold assets, enter i</w:t>
      </w:r>
      <w:r w:rsidR="00723BFC">
        <w:rPr>
          <w:sz w:val="24"/>
          <w:szCs w:val="24"/>
          <w:lang w:val="en-US"/>
        </w:rPr>
        <w:t xml:space="preserve">nto contracts, and sue and </w:t>
      </w:r>
      <w:proofErr w:type="gramStart"/>
      <w:r w:rsidR="00723BFC">
        <w:rPr>
          <w:sz w:val="24"/>
          <w:szCs w:val="24"/>
          <w:lang w:val="en-US"/>
        </w:rPr>
        <w:t>be sue</w:t>
      </w:r>
      <w:r w:rsidR="00F87256" w:rsidRPr="00FD6B58">
        <w:rPr>
          <w:sz w:val="24"/>
          <w:szCs w:val="24"/>
          <w:lang w:val="en-US"/>
        </w:rPr>
        <w:t>d</w:t>
      </w:r>
      <w:proofErr w:type="gramEnd"/>
      <w:r w:rsidR="00F87256" w:rsidRPr="00FD6B58">
        <w:rPr>
          <w:sz w:val="24"/>
          <w:szCs w:val="24"/>
          <w:lang w:val="en-US"/>
        </w:rPr>
        <w:t xml:space="preserve"> in its own name. </w:t>
      </w:r>
      <w:r w:rsidR="00052BF8" w:rsidRPr="00FD6B58">
        <w:rPr>
          <w:sz w:val="24"/>
          <w:szCs w:val="24"/>
          <w:lang w:val="en-US"/>
        </w:rPr>
        <w:t xml:space="preserve">There is no question </w:t>
      </w:r>
      <w:r w:rsidR="00BB21A9" w:rsidRPr="00FD6B58">
        <w:rPr>
          <w:sz w:val="24"/>
          <w:szCs w:val="24"/>
          <w:lang w:val="en-US"/>
        </w:rPr>
        <w:t xml:space="preserve">that the </w:t>
      </w:r>
      <w:r w:rsidR="00E70E09">
        <w:rPr>
          <w:sz w:val="24"/>
          <w:szCs w:val="24"/>
          <w:lang w:val="en-US"/>
        </w:rPr>
        <w:t xml:space="preserve">Brazilian </w:t>
      </w:r>
      <w:r w:rsidR="00BB21A9" w:rsidRPr="00FD6B58">
        <w:rPr>
          <w:sz w:val="24"/>
          <w:szCs w:val="24"/>
          <w:lang w:val="en-US"/>
        </w:rPr>
        <w:t>S.A.</w:t>
      </w:r>
      <w:r w:rsidR="00A42BC2">
        <w:rPr>
          <w:sz w:val="24"/>
          <w:szCs w:val="24"/>
          <w:lang w:val="en-US"/>
        </w:rPr>
        <w:t>, as well as most company and partnership forms (</w:t>
      </w:r>
      <w:proofErr w:type="spellStart"/>
      <w:r w:rsidR="00A42BC2">
        <w:rPr>
          <w:i/>
          <w:sz w:val="24"/>
          <w:szCs w:val="24"/>
          <w:lang w:val="en-US"/>
        </w:rPr>
        <w:t>sociedades</w:t>
      </w:r>
      <w:proofErr w:type="spellEnd"/>
      <w:proofErr w:type="gramStart"/>
      <w:r w:rsidR="00A42BC2">
        <w:rPr>
          <w:sz w:val="24"/>
          <w:szCs w:val="24"/>
          <w:lang w:val="en-US"/>
        </w:rPr>
        <w:t>),</w:t>
      </w:r>
      <w:proofErr w:type="gramEnd"/>
      <w:r w:rsidR="00BB21A9" w:rsidRPr="00FD6B58">
        <w:rPr>
          <w:sz w:val="24"/>
          <w:szCs w:val="24"/>
          <w:lang w:val="en-US"/>
        </w:rPr>
        <w:t xml:space="preserve"> h</w:t>
      </w:r>
      <w:r w:rsidR="00A42BC2">
        <w:rPr>
          <w:sz w:val="24"/>
          <w:szCs w:val="24"/>
          <w:lang w:val="en-US"/>
        </w:rPr>
        <w:t>ave</w:t>
      </w:r>
      <w:r w:rsidR="00BB21A9" w:rsidRPr="00FD6B58">
        <w:rPr>
          <w:sz w:val="24"/>
          <w:szCs w:val="24"/>
          <w:lang w:val="en-US"/>
        </w:rPr>
        <w:t xml:space="preserve"> </w:t>
      </w:r>
      <w:r w:rsidR="006426B9">
        <w:rPr>
          <w:sz w:val="24"/>
          <w:szCs w:val="24"/>
          <w:lang w:val="en-US"/>
        </w:rPr>
        <w:t>legal personality</w:t>
      </w:r>
      <w:r w:rsidR="00D03E52">
        <w:rPr>
          <w:sz w:val="24"/>
          <w:szCs w:val="24"/>
          <w:lang w:val="en-US"/>
        </w:rPr>
        <w:t xml:space="preserve"> under the Civil Code.</w:t>
      </w:r>
      <w:r w:rsidR="00D03E52">
        <w:rPr>
          <w:rStyle w:val="Refdenotaderodap"/>
          <w:sz w:val="24"/>
          <w:szCs w:val="24"/>
          <w:lang w:val="en-US"/>
        </w:rPr>
        <w:footnoteReference w:id="21"/>
      </w:r>
      <w:r w:rsidR="00D05C58">
        <w:rPr>
          <w:sz w:val="24"/>
          <w:szCs w:val="24"/>
          <w:lang w:val="en-US"/>
        </w:rPr>
        <w:t xml:space="preserve"> There is no novelty here: </w:t>
      </w:r>
      <w:r w:rsidR="007F64B2" w:rsidRPr="00FD6B58">
        <w:rPr>
          <w:sz w:val="24"/>
          <w:szCs w:val="24"/>
          <w:lang w:val="en-US"/>
        </w:rPr>
        <w:t xml:space="preserve">this attribute dates back to Brazil’s very first corporations </w:t>
      </w:r>
      <w:r w:rsidR="00EE123B">
        <w:rPr>
          <w:sz w:val="24"/>
          <w:szCs w:val="24"/>
          <w:lang w:val="en-US"/>
        </w:rPr>
        <w:t>in the</w:t>
      </w:r>
      <w:r w:rsidR="007F64B2" w:rsidRPr="00FD6B58">
        <w:rPr>
          <w:sz w:val="24"/>
          <w:szCs w:val="24"/>
          <w:lang w:val="en-US"/>
        </w:rPr>
        <w:t xml:space="preserve"> nineteenth century.</w:t>
      </w:r>
      <w:r w:rsidR="006D35BB" w:rsidRPr="00FD6B58">
        <w:rPr>
          <w:sz w:val="24"/>
          <w:szCs w:val="24"/>
          <w:lang w:val="en-US"/>
        </w:rPr>
        <w:t xml:space="preserve"> </w:t>
      </w:r>
      <w:r w:rsidR="0079291D" w:rsidRPr="00FD6B58">
        <w:rPr>
          <w:sz w:val="24"/>
          <w:szCs w:val="24"/>
          <w:lang w:val="en-US"/>
        </w:rPr>
        <w:t>The existence of a separate legal personality</w:t>
      </w:r>
      <w:r w:rsidR="00D606E1">
        <w:rPr>
          <w:sz w:val="24"/>
          <w:szCs w:val="24"/>
          <w:lang w:val="en-US"/>
        </w:rPr>
        <w:t xml:space="preserve"> also</w:t>
      </w:r>
      <w:r w:rsidR="0079291D" w:rsidRPr="00FD6B58">
        <w:rPr>
          <w:sz w:val="24"/>
          <w:szCs w:val="24"/>
          <w:lang w:val="en-US"/>
        </w:rPr>
        <w:t xml:space="preserve"> </w:t>
      </w:r>
      <w:r w:rsidR="00D606E1">
        <w:rPr>
          <w:sz w:val="24"/>
          <w:szCs w:val="24"/>
          <w:lang w:val="en-US"/>
        </w:rPr>
        <w:t>entails the</w:t>
      </w:r>
      <w:r w:rsidR="007034C7">
        <w:rPr>
          <w:sz w:val="24"/>
          <w:szCs w:val="24"/>
          <w:lang w:val="en-US"/>
        </w:rPr>
        <w:t xml:space="preserve"> formal </w:t>
      </w:r>
      <w:r w:rsidR="0079291D" w:rsidRPr="00FD6B58">
        <w:rPr>
          <w:sz w:val="24"/>
          <w:szCs w:val="24"/>
          <w:lang w:val="en-US"/>
        </w:rPr>
        <w:t>separation between the assets of the corporation</w:t>
      </w:r>
      <w:r w:rsidR="00D606E1">
        <w:rPr>
          <w:sz w:val="24"/>
          <w:szCs w:val="24"/>
          <w:lang w:val="en-US"/>
        </w:rPr>
        <w:t xml:space="preserve"> and those of shareholders</w:t>
      </w:r>
      <w:r w:rsidR="0079291D" w:rsidRPr="00FD6B58">
        <w:rPr>
          <w:sz w:val="24"/>
          <w:szCs w:val="24"/>
          <w:lang w:val="en-US"/>
        </w:rPr>
        <w:t xml:space="preserve">. </w:t>
      </w:r>
      <w:r w:rsidR="00385236" w:rsidRPr="00FD6B58">
        <w:rPr>
          <w:sz w:val="24"/>
          <w:szCs w:val="24"/>
          <w:lang w:val="en-US"/>
        </w:rPr>
        <w:t xml:space="preserve">The Brazilian S.A. is no different. </w:t>
      </w:r>
    </w:p>
    <w:p w:rsidR="00D06CC8" w:rsidRPr="00FD6B58" w:rsidRDefault="00D06CC8" w:rsidP="00260800">
      <w:pPr>
        <w:jc w:val="both"/>
        <w:rPr>
          <w:sz w:val="24"/>
          <w:szCs w:val="24"/>
          <w:lang w:val="en-US"/>
        </w:rPr>
      </w:pPr>
      <w:r w:rsidRPr="00FD6B58">
        <w:rPr>
          <w:sz w:val="24"/>
          <w:szCs w:val="24"/>
          <w:lang w:val="en-US"/>
        </w:rPr>
        <w:tab/>
      </w:r>
      <w:r w:rsidR="00C85000">
        <w:rPr>
          <w:sz w:val="24"/>
          <w:szCs w:val="24"/>
          <w:lang w:val="en-US"/>
        </w:rPr>
        <w:t>In the last decades, h</w:t>
      </w:r>
      <w:r w:rsidR="00F540A0" w:rsidRPr="00FD6B58">
        <w:rPr>
          <w:sz w:val="24"/>
          <w:szCs w:val="24"/>
          <w:lang w:val="en-US"/>
        </w:rPr>
        <w:t>owever, scholars have underscored that</w:t>
      </w:r>
      <w:r w:rsidR="00242337" w:rsidRPr="00FD6B58">
        <w:rPr>
          <w:sz w:val="24"/>
          <w:szCs w:val="24"/>
          <w:lang w:val="en-US"/>
        </w:rPr>
        <w:t xml:space="preserve"> the separation between the assets of the </w:t>
      </w:r>
      <w:r w:rsidR="001B0CC8">
        <w:rPr>
          <w:sz w:val="24"/>
          <w:szCs w:val="24"/>
          <w:lang w:val="en-US"/>
        </w:rPr>
        <w:t>firm</w:t>
      </w:r>
      <w:r w:rsidR="00242337" w:rsidRPr="00FD6B58">
        <w:rPr>
          <w:sz w:val="24"/>
          <w:szCs w:val="24"/>
          <w:lang w:val="en-US"/>
        </w:rPr>
        <w:t xml:space="preserve"> and its </w:t>
      </w:r>
      <w:r w:rsidR="001B0CC8">
        <w:rPr>
          <w:sz w:val="24"/>
          <w:szCs w:val="24"/>
          <w:lang w:val="en-US"/>
        </w:rPr>
        <w:t>owners</w:t>
      </w:r>
      <w:r w:rsidR="00242337" w:rsidRPr="00FD6B58">
        <w:rPr>
          <w:sz w:val="24"/>
          <w:szCs w:val="24"/>
          <w:lang w:val="en-US"/>
        </w:rPr>
        <w:t xml:space="preserve"> </w:t>
      </w:r>
      <w:r w:rsidR="002D3C9A">
        <w:rPr>
          <w:sz w:val="24"/>
          <w:szCs w:val="24"/>
          <w:lang w:val="en-US"/>
        </w:rPr>
        <w:t>allow</w:t>
      </w:r>
      <w:r w:rsidR="00242337" w:rsidRPr="00FD6B58">
        <w:rPr>
          <w:sz w:val="24"/>
          <w:szCs w:val="24"/>
          <w:lang w:val="en-US"/>
        </w:rPr>
        <w:t xml:space="preserve"> different gradations. </w:t>
      </w:r>
      <w:r w:rsidR="00251779" w:rsidRPr="00FD6B58">
        <w:rPr>
          <w:sz w:val="24"/>
          <w:szCs w:val="24"/>
          <w:lang w:val="en-US"/>
        </w:rPr>
        <w:t xml:space="preserve">As first highlighted by Henry </w:t>
      </w:r>
      <w:proofErr w:type="spellStart"/>
      <w:r w:rsidR="00251779" w:rsidRPr="00FD6B58">
        <w:rPr>
          <w:sz w:val="24"/>
          <w:szCs w:val="24"/>
          <w:lang w:val="en-US"/>
        </w:rPr>
        <w:t>Hansmann</w:t>
      </w:r>
      <w:proofErr w:type="spellEnd"/>
      <w:r w:rsidR="00251779" w:rsidRPr="00FD6B58">
        <w:rPr>
          <w:sz w:val="24"/>
          <w:szCs w:val="24"/>
          <w:lang w:val="en-US"/>
        </w:rPr>
        <w:t xml:space="preserve"> and </w:t>
      </w:r>
      <w:proofErr w:type="spellStart"/>
      <w:r w:rsidR="00251779" w:rsidRPr="00FD6B58">
        <w:rPr>
          <w:sz w:val="24"/>
          <w:szCs w:val="24"/>
          <w:lang w:val="en-US"/>
        </w:rPr>
        <w:t>Reinier</w:t>
      </w:r>
      <w:proofErr w:type="spellEnd"/>
      <w:r w:rsidR="00251779" w:rsidRPr="00FD6B58">
        <w:rPr>
          <w:sz w:val="24"/>
          <w:szCs w:val="24"/>
          <w:lang w:val="en-US"/>
        </w:rPr>
        <w:t xml:space="preserve"> </w:t>
      </w:r>
      <w:proofErr w:type="spellStart"/>
      <w:r w:rsidR="00251779" w:rsidRPr="00FD6B58">
        <w:rPr>
          <w:sz w:val="24"/>
          <w:szCs w:val="24"/>
          <w:lang w:val="en-US"/>
        </w:rPr>
        <w:t>Kraakman</w:t>
      </w:r>
      <w:proofErr w:type="spellEnd"/>
      <w:r w:rsidR="0093537A" w:rsidRPr="00FD6B58">
        <w:rPr>
          <w:sz w:val="24"/>
          <w:szCs w:val="24"/>
          <w:lang w:val="en-US"/>
        </w:rPr>
        <w:t>, the</w:t>
      </w:r>
      <w:r w:rsidR="00B1191F" w:rsidRPr="00FD6B58">
        <w:rPr>
          <w:sz w:val="24"/>
          <w:szCs w:val="24"/>
          <w:lang w:val="en-US"/>
        </w:rPr>
        <w:t xml:space="preserve"> degree of separation afforded by the corporation </w:t>
      </w:r>
      <w:r w:rsidR="00CD0BCD" w:rsidRPr="00FD6B58">
        <w:rPr>
          <w:sz w:val="24"/>
          <w:szCs w:val="24"/>
          <w:lang w:val="en-US"/>
        </w:rPr>
        <w:t>is strong: neither shareholders nor personal creditors of the shareholders can withdraw corporate assets unless a majority of the shareholders</w:t>
      </w:r>
      <w:r w:rsidR="00D606E1">
        <w:rPr>
          <w:sz w:val="24"/>
          <w:szCs w:val="24"/>
          <w:lang w:val="en-US"/>
        </w:rPr>
        <w:t xml:space="preserve"> </w:t>
      </w:r>
      <w:r w:rsidR="00D606E1">
        <w:rPr>
          <w:sz w:val="24"/>
          <w:szCs w:val="24"/>
          <w:lang w:val="en-US"/>
        </w:rPr>
        <w:lastRenderedPageBreak/>
        <w:t xml:space="preserve">decides to liquidate the firm—in which </w:t>
      </w:r>
      <w:r w:rsidR="00CD0BCD" w:rsidRPr="00FD6B58">
        <w:rPr>
          <w:sz w:val="24"/>
          <w:szCs w:val="24"/>
          <w:lang w:val="en-US"/>
        </w:rPr>
        <w:t>case corporate credi</w:t>
      </w:r>
      <w:r w:rsidR="00D606E1">
        <w:rPr>
          <w:sz w:val="24"/>
          <w:szCs w:val="24"/>
          <w:lang w:val="en-US"/>
        </w:rPr>
        <w:t>tors will be paid first</w:t>
      </w:r>
      <w:r w:rsidR="00CD0BCD" w:rsidRPr="00FD6B58">
        <w:rPr>
          <w:sz w:val="24"/>
          <w:szCs w:val="24"/>
          <w:lang w:val="en-US"/>
        </w:rPr>
        <w:t>.</w:t>
      </w:r>
      <w:bookmarkStart w:id="3" w:name="_Ref451518141"/>
      <w:r w:rsidR="00673E21" w:rsidRPr="00FD6B58">
        <w:rPr>
          <w:rStyle w:val="Refdenotaderodap"/>
          <w:sz w:val="24"/>
          <w:szCs w:val="24"/>
          <w:lang w:val="en-US"/>
        </w:rPr>
        <w:footnoteReference w:id="22"/>
      </w:r>
      <w:bookmarkEnd w:id="3"/>
      <w:r w:rsidR="00CD0BCD" w:rsidRPr="00FD6B58">
        <w:rPr>
          <w:sz w:val="24"/>
          <w:szCs w:val="24"/>
          <w:lang w:val="en-US"/>
        </w:rPr>
        <w:t xml:space="preserve"> </w:t>
      </w:r>
      <w:r w:rsidR="008B507F" w:rsidRPr="00FD6B58">
        <w:rPr>
          <w:sz w:val="24"/>
          <w:szCs w:val="24"/>
          <w:lang w:val="en-US"/>
        </w:rPr>
        <w:t>This feature</w:t>
      </w:r>
      <w:r w:rsidR="00A64AB7" w:rsidRPr="00FD6B58">
        <w:rPr>
          <w:sz w:val="24"/>
          <w:szCs w:val="24"/>
          <w:lang w:val="en-US"/>
        </w:rPr>
        <w:t xml:space="preserve"> </w:t>
      </w:r>
      <w:r w:rsidR="008B507F" w:rsidRPr="00FD6B58">
        <w:rPr>
          <w:sz w:val="24"/>
          <w:szCs w:val="24"/>
          <w:lang w:val="en-US"/>
        </w:rPr>
        <w:t xml:space="preserve">stands in contrast </w:t>
      </w:r>
      <w:r w:rsidR="00D606E1">
        <w:rPr>
          <w:sz w:val="24"/>
          <w:szCs w:val="24"/>
          <w:lang w:val="en-US"/>
        </w:rPr>
        <w:t>to</w:t>
      </w:r>
      <w:r w:rsidR="008B507F" w:rsidRPr="00FD6B58">
        <w:rPr>
          <w:sz w:val="24"/>
          <w:szCs w:val="24"/>
          <w:lang w:val="en-US"/>
        </w:rPr>
        <w:t xml:space="preserve"> the weak form of </w:t>
      </w:r>
      <w:r w:rsidR="00B45147" w:rsidRPr="00FD6B58">
        <w:rPr>
          <w:sz w:val="24"/>
          <w:szCs w:val="24"/>
          <w:lang w:val="en-US"/>
        </w:rPr>
        <w:t>separation provided</w:t>
      </w:r>
      <w:r w:rsidR="008B507F" w:rsidRPr="00FD6B58">
        <w:rPr>
          <w:sz w:val="24"/>
          <w:szCs w:val="24"/>
          <w:lang w:val="en-US"/>
        </w:rPr>
        <w:t xml:space="preserve"> by the </w:t>
      </w:r>
      <w:r w:rsidR="007B7705" w:rsidRPr="00FD6B58">
        <w:rPr>
          <w:sz w:val="24"/>
          <w:szCs w:val="24"/>
          <w:lang w:val="en-US"/>
        </w:rPr>
        <w:t>partners</w:t>
      </w:r>
      <w:r w:rsidR="00700BCC">
        <w:rPr>
          <w:sz w:val="24"/>
          <w:szCs w:val="24"/>
          <w:lang w:val="en-US"/>
        </w:rPr>
        <w:t>hip, which traditionally permitted partners, and</w:t>
      </w:r>
      <w:r w:rsidR="007B7705" w:rsidRPr="00FD6B58">
        <w:rPr>
          <w:sz w:val="24"/>
          <w:szCs w:val="24"/>
          <w:lang w:val="en-US"/>
        </w:rPr>
        <w:t xml:space="preserve"> personal creditors of partners</w:t>
      </w:r>
      <w:r w:rsidR="00700BCC">
        <w:rPr>
          <w:sz w:val="24"/>
          <w:szCs w:val="24"/>
          <w:lang w:val="en-US"/>
        </w:rPr>
        <w:t>,</w:t>
      </w:r>
      <w:r w:rsidR="007B7705" w:rsidRPr="00FD6B58">
        <w:rPr>
          <w:sz w:val="24"/>
          <w:szCs w:val="24"/>
          <w:lang w:val="en-US"/>
        </w:rPr>
        <w:t xml:space="preserve"> to force a dissolution of the firm</w:t>
      </w:r>
      <w:r w:rsidR="004C4EA4">
        <w:rPr>
          <w:sz w:val="24"/>
          <w:szCs w:val="24"/>
          <w:lang w:val="en-US"/>
        </w:rPr>
        <w:t xml:space="preserve"> unilaterally</w:t>
      </w:r>
      <w:r w:rsidR="007B7705" w:rsidRPr="00FD6B58">
        <w:rPr>
          <w:sz w:val="24"/>
          <w:szCs w:val="24"/>
          <w:lang w:val="en-US"/>
        </w:rPr>
        <w:t>.</w:t>
      </w:r>
      <w:r w:rsidR="007B7705" w:rsidRPr="00FD6B58">
        <w:rPr>
          <w:rStyle w:val="Refdenotaderodap"/>
          <w:sz w:val="24"/>
          <w:szCs w:val="24"/>
          <w:lang w:val="en-US"/>
        </w:rPr>
        <w:footnoteReference w:id="23"/>
      </w:r>
      <w:r w:rsidR="007B7705" w:rsidRPr="00FD6B58">
        <w:rPr>
          <w:sz w:val="24"/>
          <w:szCs w:val="24"/>
          <w:lang w:val="en-US"/>
        </w:rPr>
        <w:t xml:space="preserve"> </w:t>
      </w:r>
    </w:p>
    <w:p w:rsidR="00D06CC8" w:rsidRPr="00FD6B58" w:rsidRDefault="00811582" w:rsidP="00260800">
      <w:pPr>
        <w:jc w:val="both"/>
        <w:rPr>
          <w:sz w:val="24"/>
          <w:szCs w:val="24"/>
          <w:lang w:val="en-US"/>
        </w:rPr>
      </w:pPr>
      <w:r w:rsidRPr="00FD6B58">
        <w:rPr>
          <w:sz w:val="24"/>
          <w:szCs w:val="24"/>
          <w:lang w:val="en-US"/>
        </w:rPr>
        <w:tab/>
      </w:r>
      <w:r w:rsidR="00D14876">
        <w:rPr>
          <w:sz w:val="24"/>
          <w:szCs w:val="24"/>
          <w:lang w:val="en-US"/>
        </w:rPr>
        <w:t>Corporate</w:t>
      </w:r>
      <w:r w:rsidRPr="00FD6B58">
        <w:rPr>
          <w:sz w:val="24"/>
          <w:szCs w:val="24"/>
          <w:lang w:val="en-US"/>
        </w:rPr>
        <w:t xml:space="preserve"> </w:t>
      </w:r>
      <w:r w:rsidR="00D06CC8" w:rsidRPr="00FD6B58">
        <w:rPr>
          <w:sz w:val="24"/>
          <w:szCs w:val="24"/>
          <w:lang w:val="en-US"/>
        </w:rPr>
        <w:t xml:space="preserve">shareholders (and, consequently, the shareholders’ creditors) generally have no claim over the corporation’s assets. Once a shareholder makes her investment either by subscribing new shares or by purchasing existing shares in the secondary market, her economic claims vis-à-vis the firm are limited. </w:t>
      </w:r>
      <w:proofErr w:type="gramStart"/>
      <w:r w:rsidR="00D06CC8" w:rsidRPr="00FD6B58">
        <w:rPr>
          <w:sz w:val="24"/>
          <w:szCs w:val="24"/>
          <w:lang w:val="en-US"/>
        </w:rPr>
        <w:t>Absent fundamental changes to the corporation’s structure</w:t>
      </w:r>
      <w:r w:rsidR="00D14876">
        <w:rPr>
          <w:sz w:val="24"/>
          <w:szCs w:val="24"/>
          <w:lang w:val="en-US"/>
        </w:rPr>
        <w:t xml:space="preserve"> permitting the exercise of appraisal rights</w:t>
      </w:r>
      <w:r w:rsidR="00D06CC8" w:rsidRPr="00FD6B58">
        <w:rPr>
          <w:sz w:val="24"/>
          <w:szCs w:val="24"/>
          <w:lang w:val="en-US"/>
        </w:rPr>
        <w:t xml:space="preserve">, </w:t>
      </w:r>
      <w:r w:rsidR="00D14876">
        <w:rPr>
          <w:sz w:val="24"/>
          <w:szCs w:val="24"/>
          <w:lang w:val="en-US"/>
        </w:rPr>
        <w:t>a</w:t>
      </w:r>
      <w:r w:rsidR="00D06CC8" w:rsidRPr="00FD6B58">
        <w:rPr>
          <w:sz w:val="24"/>
          <w:szCs w:val="24"/>
          <w:lang w:val="en-US"/>
        </w:rPr>
        <w:t xml:space="preserve"> shareholder is only entitled to (</w:t>
      </w:r>
      <w:proofErr w:type="spellStart"/>
      <w:r w:rsidR="00D06CC8" w:rsidRPr="00FD6B58">
        <w:rPr>
          <w:sz w:val="24"/>
          <w:szCs w:val="24"/>
          <w:lang w:val="en-US"/>
        </w:rPr>
        <w:t>i</w:t>
      </w:r>
      <w:proofErr w:type="spellEnd"/>
      <w:r w:rsidR="00D06CC8" w:rsidRPr="00FD6B58">
        <w:rPr>
          <w:sz w:val="24"/>
          <w:szCs w:val="24"/>
          <w:lang w:val="en-US"/>
        </w:rPr>
        <w:t xml:space="preserve">) a proportionate share of dividend distributions (which is conditional on both the existence of profits </w:t>
      </w:r>
      <w:r w:rsidR="00D06CC8" w:rsidRPr="00FD6B58">
        <w:rPr>
          <w:i/>
          <w:sz w:val="24"/>
          <w:szCs w:val="24"/>
          <w:lang w:val="en-US"/>
        </w:rPr>
        <w:t xml:space="preserve">and </w:t>
      </w:r>
      <w:r w:rsidR="00D06CC8" w:rsidRPr="00FD6B58">
        <w:rPr>
          <w:sz w:val="24"/>
          <w:szCs w:val="24"/>
          <w:lang w:val="en-US"/>
        </w:rPr>
        <w:t>the corporation’s decision to distribute dividends) and (ii) a proportionate share of the residual if the firm is liquidated (provided there is anything left after creditors are paid in full).</w:t>
      </w:r>
      <w:proofErr w:type="gramEnd"/>
      <w:r w:rsidR="00D06CC8" w:rsidRPr="00FD6B58">
        <w:rPr>
          <w:sz w:val="24"/>
          <w:szCs w:val="24"/>
          <w:lang w:val="en-US"/>
        </w:rPr>
        <w:t xml:space="preserve">  </w:t>
      </w:r>
    </w:p>
    <w:p w:rsidR="00D06CC8" w:rsidRPr="00FD6B58" w:rsidRDefault="00D06CC8" w:rsidP="00260800">
      <w:pPr>
        <w:ind w:firstLine="720"/>
        <w:jc w:val="both"/>
        <w:rPr>
          <w:sz w:val="24"/>
          <w:szCs w:val="24"/>
          <w:lang w:val="en-US"/>
        </w:rPr>
      </w:pPr>
      <w:r w:rsidRPr="00FD6B58">
        <w:rPr>
          <w:sz w:val="24"/>
          <w:szCs w:val="24"/>
          <w:lang w:val="en-US"/>
        </w:rPr>
        <w:t>This limitation on capital withdrawals by shareholders has been a longstanding feature of the corporate form, dating back</w:t>
      </w:r>
      <w:r w:rsidR="00A23E4C">
        <w:rPr>
          <w:sz w:val="24"/>
          <w:szCs w:val="24"/>
          <w:lang w:val="en-US"/>
        </w:rPr>
        <w:t xml:space="preserve"> at least</w:t>
      </w:r>
      <w:r w:rsidRPr="00FD6B58">
        <w:rPr>
          <w:sz w:val="24"/>
          <w:szCs w:val="24"/>
          <w:lang w:val="en-US"/>
        </w:rPr>
        <w:t xml:space="preserve"> to the Dutch East India Company of the seventeenth century.</w:t>
      </w:r>
      <w:r w:rsidR="00E44241">
        <w:rPr>
          <w:rStyle w:val="Refdenotaderodap"/>
          <w:sz w:val="24"/>
          <w:szCs w:val="24"/>
          <w:lang w:val="en-US"/>
        </w:rPr>
        <w:footnoteReference w:id="24"/>
      </w:r>
      <w:r w:rsidRPr="00FD6B58">
        <w:rPr>
          <w:sz w:val="24"/>
          <w:szCs w:val="24"/>
          <w:lang w:val="en-US"/>
        </w:rPr>
        <w:t xml:space="preserve"> Nevertheless, this trait has only recently attracted the dedicated attention of legal scholars and economists. While long subsumed under “legal personality” and patrimonial autonomy, this now popular attr</w:t>
      </w:r>
      <w:r w:rsidR="006F1DB4">
        <w:rPr>
          <w:sz w:val="24"/>
          <w:szCs w:val="24"/>
          <w:lang w:val="en-US"/>
        </w:rPr>
        <w:t>ibute came to receive specific names</w:t>
      </w:r>
      <w:r w:rsidRPr="00FD6B58">
        <w:rPr>
          <w:sz w:val="24"/>
          <w:szCs w:val="24"/>
          <w:lang w:val="en-US"/>
        </w:rPr>
        <w:t xml:space="preserve"> of its own.</w:t>
      </w:r>
      <w:r w:rsidR="006D0B74" w:rsidRPr="00FD6B58">
        <w:rPr>
          <w:sz w:val="24"/>
          <w:szCs w:val="24"/>
          <w:lang w:val="en-US"/>
        </w:rPr>
        <w:t xml:space="preserve"> Scholars have coined various labels to refer to this trait: “affirmative asset partitioning” with “liquidation protection” (</w:t>
      </w:r>
      <w:proofErr w:type="spellStart"/>
      <w:r w:rsidR="006D0B74" w:rsidRPr="00FD6B58">
        <w:rPr>
          <w:sz w:val="24"/>
          <w:szCs w:val="24"/>
          <w:lang w:val="en-US"/>
        </w:rPr>
        <w:t>Hansmann</w:t>
      </w:r>
      <w:proofErr w:type="spellEnd"/>
      <w:r w:rsidR="006D0B74" w:rsidRPr="00FD6B58">
        <w:rPr>
          <w:sz w:val="24"/>
          <w:szCs w:val="24"/>
          <w:lang w:val="en-US"/>
        </w:rPr>
        <w:t xml:space="preserve"> &amp; </w:t>
      </w:r>
      <w:proofErr w:type="spellStart"/>
      <w:r w:rsidR="006D0B74" w:rsidRPr="00FD6B58">
        <w:rPr>
          <w:sz w:val="24"/>
          <w:szCs w:val="24"/>
          <w:lang w:val="en-US"/>
        </w:rPr>
        <w:t>Kraakman</w:t>
      </w:r>
      <w:proofErr w:type="spellEnd"/>
      <w:r w:rsidR="006D0B74" w:rsidRPr="00FD6B58">
        <w:rPr>
          <w:sz w:val="24"/>
          <w:szCs w:val="24"/>
          <w:lang w:val="en-US"/>
        </w:rPr>
        <w:t xml:space="preserve">), </w:t>
      </w:r>
      <w:r w:rsidR="00343C1B" w:rsidRPr="00FD6B58">
        <w:rPr>
          <w:sz w:val="24"/>
          <w:szCs w:val="24"/>
          <w:lang w:val="en-US"/>
        </w:rPr>
        <w:t>“</w:t>
      </w:r>
      <w:r w:rsidR="006D0B74" w:rsidRPr="00FD6B58">
        <w:rPr>
          <w:sz w:val="24"/>
          <w:szCs w:val="24"/>
          <w:lang w:val="en-US"/>
        </w:rPr>
        <w:t xml:space="preserve">strong </w:t>
      </w:r>
      <w:r w:rsidR="00343C1B" w:rsidRPr="00FD6B58">
        <w:rPr>
          <w:sz w:val="24"/>
          <w:szCs w:val="24"/>
          <w:lang w:val="en-US"/>
        </w:rPr>
        <w:t>entity shielding</w:t>
      </w:r>
      <w:r w:rsidR="00913390" w:rsidRPr="00FD6B58">
        <w:rPr>
          <w:sz w:val="24"/>
          <w:szCs w:val="24"/>
          <w:lang w:val="en-US"/>
        </w:rPr>
        <w:t>”</w:t>
      </w:r>
      <w:r w:rsidR="006D0B74" w:rsidRPr="00FD6B58">
        <w:rPr>
          <w:sz w:val="24"/>
          <w:szCs w:val="24"/>
          <w:lang w:val="en-US"/>
        </w:rPr>
        <w:t xml:space="preserve"> (</w:t>
      </w:r>
      <w:proofErr w:type="spellStart"/>
      <w:r w:rsidR="006D0B74" w:rsidRPr="00FD6B58">
        <w:rPr>
          <w:sz w:val="24"/>
          <w:szCs w:val="24"/>
          <w:lang w:val="en-US"/>
        </w:rPr>
        <w:t>Hansmann</w:t>
      </w:r>
      <w:proofErr w:type="spellEnd"/>
      <w:r w:rsidR="006D0B74" w:rsidRPr="00FD6B58">
        <w:rPr>
          <w:sz w:val="24"/>
          <w:szCs w:val="24"/>
          <w:lang w:val="en-US"/>
        </w:rPr>
        <w:t xml:space="preserve">, </w:t>
      </w:r>
      <w:proofErr w:type="spellStart"/>
      <w:r w:rsidR="006D0B74" w:rsidRPr="00FD6B58">
        <w:rPr>
          <w:sz w:val="24"/>
          <w:szCs w:val="24"/>
          <w:lang w:val="en-US"/>
        </w:rPr>
        <w:t>Kraakman</w:t>
      </w:r>
      <w:proofErr w:type="spellEnd"/>
      <w:r w:rsidR="00913390" w:rsidRPr="00FD6B58">
        <w:rPr>
          <w:sz w:val="24"/>
          <w:szCs w:val="24"/>
          <w:lang w:val="en-US"/>
        </w:rPr>
        <w:t xml:space="preserve"> </w:t>
      </w:r>
      <w:r w:rsidR="006D0B74" w:rsidRPr="00FD6B58">
        <w:rPr>
          <w:sz w:val="24"/>
          <w:szCs w:val="24"/>
          <w:lang w:val="en-US"/>
        </w:rPr>
        <w:t xml:space="preserve">&amp; Squire), </w:t>
      </w:r>
      <w:r w:rsidRPr="00FD6B58">
        <w:rPr>
          <w:sz w:val="24"/>
          <w:szCs w:val="24"/>
          <w:lang w:val="en-US"/>
        </w:rPr>
        <w:t xml:space="preserve">“the absence of a repurchase </w:t>
      </w:r>
      <w:r w:rsidR="00913390" w:rsidRPr="00FD6B58">
        <w:rPr>
          <w:sz w:val="24"/>
          <w:szCs w:val="24"/>
          <w:lang w:val="en-US"/>
        </w:rPr>
        <w:t>condition</w:t>
      </w:r>
      <w:r w:rsidRPr="00FD6B58">
        <w:rPr>
          <w:sz w:val="24"/>
          <w:szCs w:val="24"/>
          <w:lang w:val="en-US"/>
        </w:rPr>
        <w:t>”</w:t>
      </w:r>
      <w:r w:rsidR="00913390" w:rsidRPr="00FD6B58">
        <w:rPr>
          <w:sz w:val="24"/>
          <w:szCs w:val="24"/>
          <w:lang w:val="en-US"/>
        </w:rPr>
        <w:t xml:space="preserve"> (Harold </w:t>
      </w:r>
      <w:proofErr w:type="spellStart"/>
      <w:r w:rsidR="00913390" w:rsidRPr="00FD6B58">
        <w:rPr>
          <w:sz w:val="24"/>
          <w:szCs w:val="24"/>
          <w:lang w:val="en-US"/>
        </w:rPr>
        <w:t>Demsetz</w:t>
      </w:r>
      <w:proofErr w:type="spellEnd"/>
      <w:r w:rsidR="00913390" w:rsidRPr="00FD6B58">
        <w:rPr>
          <w:sz w:val="24"/>
          <w:szCs w:val="24"/>
          <w:lang w:val="en-US"/>
        </w:rPr>
        <w:t>),</w:t>
      </w:r>
      <w:r w:rsidRPr="00FD6B58">
        <w:rPr>
          <w:rStyle w:val="Refdenotaderodap"/>
          <w:sz w:val="24"/>
          <w:szCs w:val="24"/>
        </w:rPr>
        <w:footnoteReference w:id="25"/>
      </w:r>
      <w:r w:rsidRPr="00FD6B58">
        <w:rPr>
          <w:sz w:val="24"/>
          <w:szCs w:val="24"/>
          <w:lang w:val="en-US"/>
        </w:rPr>
        <w:t xml:space="preserve"> “asset separation from shareholders”</w:t>
      </w:r>
      <w:r w:rsidR="00913390" w:rsidRPr="00FD6B58">
        <w:rPr>
          <w:sz w:val="24"/>
          <w:szCs w:val="24"/>
          <w:lang w:val="en-US"/>
        </w:rPr>
        <w:t xml:space="preserve"> (William Klein and John Coffee)</w:t>
      </w:r>
      <w:r w:rsidR="00251779" w:rsidRPr="00FD6B58">
        <w:rPr>
          <w:sz w:val="24"/>
          <w:szCs w:val="24"/>
          <w:lang w:val="en-US"/>
        </w:rPr>
        <w:t>,</w:t>
      </w:r>
      <w:r w:rsidR="006D0B74" w:rsidRPr="00FD6B58">
        <w:rPr>
          <w:rStyle w:val="Refdenotaderodap"/>
          <w:sz w:val="24"/>
          <w:szCs w:val="24"/>
        </w:rPr>
        <w:footnoteReference w:id="26"/>
      </w:r>
      <w:r w:rsidR="00251779" w:rsidRPr="00FD6B58">
        <w:rPr>
          <w:sz w:val="24"/>
          <w:szCs w:val="24"/>
          <w:lang w:val="en-US"/>
        </w:rPr>
        <w:t xml:space="preserve"> and “capital loc</w:t>
      </w:r>
      <w:r w:rsidR="00D14876">
        <w:rPr>
          <w:sz w:val="24"/>
          <w:szCs w:val="24"/>
          <w:lang w:val="en-US"/>
        </w:rPr>
        <w:t>k-</w:t>
      </w:r>
      <w:r w:rsidR="00251779" w:rsidRPr="00FD6B58">
        <w:rPr>
          <w:sz w:val="24"/>
          <w:szCs w:val="24"/>
          <w:lang w:val="en-US"/>
        </w:rPr>
        <w:t>in” (Ma</w:t>
      </w:r>
      <w:r w:rsidR="00151021" w:rsidRPr="00FD6B58">
        <w:rPr>
          <w:sz w:val="24"/>
          <w:szCs w:val="24"/>
          <w:lang w:val="en-US"/>
        </w:rPr>
        <w:t>rgaret Blair</w:t>
      </w:r>
      <w:r w:rsidR="00DA5E0B" w:rsidRPr="00FD6B58">
        <w:rPr>
          <w:sz w:val="24"/>
          <w:szCs w:val="24"/>
          <w:lang w:val="en-US"/>
        </w:rPr>
        <w:t>, and, subsequently, Lynn Stout</w:t>
      </w:r>
      <w:r w:rsidR="00151021" w:rsidRPr="00FD6B58">
        <w:rPr>
          <w:sz w:val="24"/>
          <w:szCs w:val="24"/>
          <w:lang w:val="en-US"/>
        </w:rPr>
        <w:t>).</w:t>
      </w:r>
      <w:bookmarkStart w:id="4" w:name="_Ref451246209"/>
      <w:r w:rsidR="006A283B" w:rsidRPr="00FD6B58">
        <w:rPr>
          <w:rStyle w:val="Refdenotaderodap"/>
          <w:sz w:val="24"/>
          <w:szCs w:val="24"/>
        </w:rPr>
        <w:footnoteReference w:id="27"/>
      </w:r>
      <w:bookmarkEnd w:id="4"/>
      <w:r w:rsidR="00151021" w:rsidRPr="00FD6B58">
        <w:rPr>
          <w:sz w:val="24"/>
          <w:szCs w:val="24"/>
          <w:lang w:val="en-US"/>
        </w:rPr>
        <w:t xml:space="preserve"> </w:t>
      </w:r>
      <w:r w:rsidRPr="00FD6B58">
        <w:rPr>
          <w:sz w:val="24"/>
          <w:szCs w:val="24"/>
          <w:lang w:val="en-US"/>
        </w:rPr>
        <w:t>For convenien</w:t>
      </w:r>
      <w:r w:rsidR="006A283B" w:rsidRPr="00FD6B58">
        <w:rPr>
          <w:sz w:val="24"/>
          <w:szCs w:val="24"/>
          <w:lang w:val="en-US"/>
        </w:rPr>
        <w:t>ce purposes, I will use the term</w:t>
      </w:r>
      <w:r w:rsidRPr="00FD6B58">
        <w:rPr>
          <w:sz w:val="24"/>
          <w:szCs w:val="24"/>
          <w:lang w:val="en-US"/>
        </w:rPr>
        <w:t xml:space="preserve"> “</w:t>
      </w:r>
      <w:r w:rsidR="00D14876">
        <w:rPr>
          <w:sz w:val="24"/>
          <w:szCs w:val="24"/>
          <w:lang w:val="en-US"/>
        </w:rPr>
        <w:t>lock-</w:t>
      </w:r>
      <w:r w:rsidRPr="00FD6B58">
        <w:rPr>
          <w:sz w:val="24"/>
          <w:szCs w:val="24"/>
          <w:lang w:val="en-US"/>
        </w:rPr>
        <w:t xml:space="preserve">in” to refer to the notion that, save for </w:t>
      </w:r>
      <w:r w:rsidR="00B5693B">
        <w:rPr>
          <w:sz w:val="24"/>
          <w:szCs w:val="24"/>
          <w:lang w:val="en-US"/>
        </w:rPr>
        <w:t>fundamental changes warranting</w:t>
      </w:r>
      <w:r w:rsidR="00210764">
        <w:rPr>
          <w:sz w:val="24"/>
          <w:szCs w:val="24"/>
          <w:lang w:val="en-US"/>
        </w:rPr>
        <w:t xml:space="preserve"> statutory</w:t>
      </w:r>
      <w:r w:rsidR="00B5693B">
        <w:rPr>
          <w:sz w:val="24"/>
          <w:szCs w:val="24"/>
          <w:lang w:val="en-US"/>
        </w:rPr>
        <w:t xml:space="preserve"> appraisal rights,</w:t>
      </w:r>
      <w:r w:rsidRPr="00FD6B58">
        <w:rPr>
          <w:sz w:val="24"/>
          <w:szCs w:val="24"/>
          <w:lang w:val="en-US"/>
        </w:rPr>
        <w:t xml:space="preserve"> corporate shareholders (and their creditors) have no claim over the firm’s assets unless a shareholder majority decides to </w:t>
      </w:r>
      <w:r w:rsidR="00BF0698">
        <w:rPr>
          <w:sz w:val="24"/>
          <w:szCs w:val="24"/>
          <w:lang w:val="en-US"/>
        </w:rPr>
        <w:t xml:space="preserve">put an </w:t>
      </w:r>
      <w:r w:rsidRPr="00FD6B58">
        <w:rPr>
          <w:sz w:val="24"/>
          <w:szCs w:val="24"/>
          <w:lang w:val="en-US"/>
        </w:rPr>
        <w:t xml:space="preserve">end </w:t>
      </w:r>
      <w:r w:rsidR="00645BE8">
        <w:rPr>
          <w:sz w:val="24"/>
          <w:szCs w:val="24"/>
          <w:lang w:val="en-US"/>
        </w:rPr>
        <w:t xml:space="preserve">to </w:t>
      </w:r>
      <w:r w:rsidRPr="00FD6B58">
        <w:rPr>
          <w:sz w:val="24"/>
          <w:szCs w:val="24"/>
          <w:lang w:val="en-US"/>
        </w:rPr>
        <w:t xml:space="preserve">the corporation’s existence through formal liquidation proceedings. </w:t>
      </w:r>
    </w:p>
    <w:p w:rsidR="00A87A73" w:rsidRDefault="00D06CC8" w:rsidP="00260800">
      <w:pPr>
        <w:ind w:firstLine="720"/>
        <w:jc w:val="both"/>
        <w:rPr>
          <w:sz w:val="24"/>
          <w:szCs w:val="24"/>
          <w:lang w:val="en-US"/>
        </w:rPr>
      </w:pPr>
      <w:r w:rsidRPr="00FD6B58">
        <w:rPr>
          <w:sz w:val="24"/>
          <w:szCs w:val="24"/>
          <w:lang w:val="en-US"/>
        </w:rPr>
        <w:t xml:space="preserve">The spread of new terminology </w:t>
      </w:r>
      <w:r w:rsidR="00B45147">
        <w:rPr>
          <w:sz w:val="24"/>
          <w:szCs w:val="24"/>
          <w:lang w:val="en-US"/>
        </w:rPr>
        <w:t>is the result of</w:t>
      </w:r>
      <w:r w:rsidRPr="00FD6B58">
        <w:rPr>
          <w:sz w:val="24"/>
          <w:szCs w:val="24"/>
          <w:lang w:val="en-US"/>
        </w:rPr>
        <w:t xml:space="preserve"> the growing recognition that </w:t>
      </w:r>
      <w:r w:rsidR="004B7BB4">
        <w:rPr>
          <w:sz w:val="24"/>
          <w:szCs w:val="24"/>
          <w:lang w:val="en-US"/>
        </w:rPr>
        <w:t xml:space="preserve">lock-in </w:t>
      </w:r>
      <w:r w:rsidR="00B45147">
        <w:rPr>
          <w:sz w:val="24"/>
          <w:szCs w:val="24"/>
          <w:lang w:val="en-US"/>
        </w:rPr>
        <w:t>performs a central economic function, which</w:t>
      </w:r>
      <w:r w:rsidR="00583578">
        <w:rPr>
          <w:sz w:val="24"/>
          <w:szCs w:val="24"/>
          <w:lang w:val="en-US"/>
        </w:rPr>
        <w:t xml:space="preserve">, </w:t>
      </w:r>
      <w:r w:rsidR="00690F2B">
        <w:rPr>
          <w:sz w:val="24"/>
          <w:szCs w:val="24"/>
          <w:lang w:val="en-US"/>
        </w:rPr>
        <w:t>according to its enthusiasts</w:t>
      </w:r>
      <w:r w:rsidR="00583578">
        <w:rPr>
          <w:sz w:val="24"/>
          <w:szCs w:val="24"/>
          <w:lang w:val="en-US"/>
        </w:rPr>
        <w:t xml:space="preserve">, is </w:t>
      </w:r>
      <w:r w:rsidRPr="00FD6B58">
        <w:rPr>
          <w:sz w:val="24"/>
          <w:szCs w:val="24"/>
          <w:lang w:val="en-US"/>
        </w:rPr>
        <w:t>equally or more fundamental to the</w:t>
      </w:r>
      <w:r w:rsidR="006E30AE">
        <w:rPr>
          <w:sz w:val="24"/>
          <w:szCs w:val="24"/>
          <w:lang w:val="en-US"/>
        </w:rPr>
        <w:t xml:space="preserve"> </w:t>
      </w:r>
      <w:r w:rsidR="00227950">
        <w:rPr>
          <w:sz w:val="24"/>
          <w:szCs w:val="24"/>
          <w:lang w:val="en-US"/>
        </w:rPr>
        <w:t>success of the corporate form</w:t>
      </w:r>
      <w:r w:rsidRPr="00FD6B58">
        <w:rPr>
          <w:sz w:val="24"/>
          <w:szCs w:val="24"/>
          <w:lang w:val="en-US"/>
        </w:rPr>
        <w:t xml:space="preserve"> than old favorites such as limited liability.</w:t>
      </w:r>
      <w:r w:rsidRPr="00FD6B58">
        <w:rPr>
          <w:rStyle w:val="Refdenotaderodap"/>
          <w:sz w:val="24"/>
          <w:szCs w:val="24"/>
        </w:rPr>
        <w:footnoteReference w:id="28"/>
      </w:r>
      <w:r w:rsidRPr="00FD6B58">
        <w:rPr>
          <w:sz w:val="24"/>
          <w:szCs w:val="24"/>
          <w:lang w:val="en-US"/>
        </w:rPr>
        <w:t xml:space="preserve"> </w:t>
      </w:r>
      <w:r w:rsidR="00583578">
        <w:rPr>
          <w:sz w:val="24"/>
          <w:szCs w:val="24"/>
          <w:lang w:val="en-US"/>
        </w:rPr>
        <w:t>There are</w:t>
      </w:r>
      <w:r w:rsidRPr="00FD6B58">
        <w:rPr>
          <w:sz w:val="24"/>
          <w:szCs w:val="24"/>
          <w:lang w:val="en-US"/>
        </w:rPr>
        <w:t xml:space="preserve"> a number of reasons for this. First, </w:t>
      </w:r>
      <w:r w:rsidR="004B7BB4">
        <w:rPr>
          <w:sz w:val="24"/>
          <w:szCs w:val="24"/>
          <w:lang w:val="en-US"/>
        </w:rPr>
        <w:t>lock</w:t>
      </w:r>
      <w:r w:rsidR="00BF461E">
        <w:rPr>
          <w:sz w:val="24"/>
          <w:szCs w:val="24"/>
          <w:lang w:val="en-US"/>
        </w:rPr>
        <w:t>-</w:t>
      </w:r>
      <w:r w:rsidR="00C97785">
        <w:rPr>
          <w:sz w:val="24"/>
          <w:szCs w:val="24"/>
          <w:lang w:val="en-US"/>
        </w:rPr>
        <w:t>in</w:t>
      </w:r>
      <w:r w:rsidRPr="00FD6B58">
        <w:rPr>
          <w:sz w:val="24"/>
          <w:szCs w:val="24"/>
          <w:lang w:val="en-US"/>
        </w:rPr>
        <w:t xml:space="preserve"> ensures that the </w:t>
      </w:r>
      <w:r w:rsidRPr="00FD6B58">
        <w:rPr>
          <w:sz w:val="24"/>
          <w:szCs w:val="24"/>
          <w:lang w:val="en-US"/>
        </w:rPr>
        <w:lastRenderedPageBreak/>
        <w:t xml:space="preserve">financial condition or preferences of individual shareholders will not affect the </w:t>
      </w:r>
      <w:r w:rsidR="009F19DF">
        <w:rPr>
          <w:sz w:val="24"/>
          <w:szCs w:val="24"/>
          <w:lang w:val="en-US"/>
        </w:rPr>
        <w:t>operation of the firm</w:t>
      </w:r>
      <w:r w:rsidRPr="00FD6B58">
        <w:rPr>
          <w:sz w:val="24"/>
          <w:szCs w:val="24"/>
          <w:lang w:val="en-US"/>
        </w:rPr>
        <w:t>, whose assets will remain intact irrespective of shareholders’ liquidity needs and obligations to creditors.</w:t>
      </w:r>
      <w:r w:rsidRPr="00FD6B58">
        <w:rPr>
          <w:rStyle w:val="Refdenotaderodap"/>
          <w:sz w:val="24"/>
          <w:szCs w:val="24"/>
        </w:rPr>
        <w:footnoteReference w:id="29"/>
      </w:r>
      <w:r w:rsidRPr="00FD6B58">
        <w:rPr>
          <w:sz w:val="24"/>
          <w:szCs w:val="24"/>
          <w:lang w:val="en-US"/>
        </w:rPr>
        <w:t xml:space="preserve"> This, in turn, </w:t>
      </w:r>
      <w:r w:rsidR="00D14876">
        <w:rPr>
          <w:sz w:val="24"/>
          <w:szCs w:val="24"/>
          <w:lang w:val="en-US"/>
        </w:rPr>
        <w:t xml:space="preserve">eliminates </w:t>
      </w:r>
      <w:r w:rsidRPr="00FD6B58">
        <w:rPr>
          <w:sz w:val="24"/>
          <w:szCs w:val="24"/>
          <w:lang w:val="en-US"/>
        </w:rPr>
        <w:t xml:space="preserve">the need for inter-shareholder monitoring, making </w:t>
      </w:r>
      <w:r w:rsidR="00C97785">
        <w:rPr>
          <w:sz w:val="24"/>
          <w:szCs w:val="24"/>
          <w:lang w:val="en-US"/>
        </w:rPr>
        <w:t>lock-in</w:t>
      </w:r>
      <w:r w:rsidRPr="00FD6B58">
        <w:rPr>
          <w:sz w:val="24"/>
          <w:szCs w:val="24"/>
          <w:lang w:val="en-US"/>
        </w:rPr>
        <w:t xml:space="preserve"> highly complementary to other features of the corporate form, such as delegated management and transferable shares.</w:t>
      </w:r>
      <w:r w:rsidRPr="00FD6B58">
        <w:rPr>
          <w:rStyle w:val="Refdenotaderodap"/>
          <w:sz w:val="24"/>
          <w:szCs w:val="24"/>
        </w:rPr>
        <w:footnoteReference w:id="30"/>
      </w:r>
      <w:r w:rsidRPr="00FD6B58">
        <w:rPr>
          <w:sz w:val="24"/>
          <w:szCs w:val="24"/>
          <w:lang w:val="en-US"/>
        </w:rPr>
        <w:t xml:space="preserve"> </w:t>
      </w:r>
    </w:p>
    <w:p w:rsidR="0026293D" w:rsidRDefault="00D06CC8" w:rsidP="00260800">
      <w:pPr>
        <w:ind w:firstLine="720"/>
        <w:jc w:val="both"/>
        <w:rPr>
          <w:sz w:val="24"/>
          <w:szCs w:val="24"/>
          <w:lang w:val="en-US"/>
        </w:rPr>
      </w:pPr>
      <w:r w:rsidRPr="00FD6B58">
        <w:rPr>
          <w:sz w:val="24"/>
          <w:szCs w:val="24"/>
          <w:lang w:val="en-US"/>
        </w:rPr>
        <w:t xml:space="preserve">Second, </w:t>
      </w:r>
      <w:r w:rsidR="0029481E">
        <w:rPr>
          <w:sz w:val="24"/>
          <w:szCs w:val="24"/>
          <w:lang w:val="en-US"/>
        </w:rPr>
        <w:t>lock-in</w:t>
      </w:r>
      <w:r w:rsidRPr="00FD6B58">
        <w:rPr>
          <w:sz w:val="24"/>
          <w:szCs w:val="24"/>
          <w:lang w:val="en-US"/>
        </w:rPr>
        <w:t xml:space="preserve"> promotes the continuity </w:t>
      </w:r>
      <w:r w:rsidR="00DE2976">
        <w:rPr>
          <w:sz w:val="24"/>
          <w:szCs w:val="24"/>
          <w:lang w:val="en-US"/>
        </w:rPr>
        <w:t xml:space="preserve">and integrity </w:t>
      </w:r>
      <w:r w:rsidRPr="00FD6B58">
        <w:rPr>
          <w:sz w:val="24"/>
          <w:szCs w:val="24"/>
          <w:lang w:val="en-US"/>
        </w:rPr>
        <w:t>of the corporate form over time, thereby encouraging firm-specific investments by different participants in the enterprise.</w:t>
      </w:r>
      <w:r w:rsidRPr="00FD6B58">
        <w:rPr>
          <w:rStyle w:val="Refdenotaderodap"/>
          <w:sz w:val="24"/>
          <w:szCs w:val="24"/>
        </w:rPr>
        <w:footnoteReference w:id="31"/>
      </w:r>
      <w:r w:rsidRPr="00FD6B58">
        <w:rPr>
          <w:sz w:val="24"/>
          <w:szCs w:val="24"/>
          <w:lang w:val="en-US"/>
        </w:rPr>
        <w:t xml:space="preserve"> </w:t>
      </w:r>
      <w:r w:rsidR="00D14876">
        <w:rPr>
          <w:sz w:val="24"/>
          <w:szCs w:val="24"/>
          <w:lang w:val="en-US"/>
        </w:rPr>
        <w:t xml:space="preserve">It </w:t>
      </w:r>
      <w:r w:rsidR="00D825F0">
        <w:rPr>
          <w:sz w:val="24"/>
          <w:szCs w:val="24"/>
          <w:lang w:val="en-US"/>
        </w:rPr>
        <w:t>protects going-concern value</w:t>
      </w:r>
      <w:r w:rsidR="00583578">
        <w:rPr>
          <w:sz w:val="24"/>
          <w:szCs w:val="24"/>
          <w:lang w:val="en-US"/>
        </w:rPr>
        <w:t xml:space="preserve"> </w:t>
      </w:r>
      <w:r w:rsidR="00D825F0">
        <w:rPr>
          <w:sz w:val="24"/>
          <w:szCs w:val="24"/>
          <w:lang w:val="en-US"/>
        </w:rPr>
        <w:t xml:space="preserve">and </w:t>
      </w:r>
      <w:r w:rsidRPr="00FD6B58">
        <w:rPr>
          <w:sz w:val="24"/>
          <w:szCs w:val="24"/>
          <w:lang w:val="en-US"/>
        </w:rPr>
        <w:t xml:space="preserve">strengthens the pool of assets available to corporate creditors, thereby enhancing the corporation’s creditworthiness and reducing its cost of capital. Fourth, it avoids hold-up problems by minority shareholders when </w:t>
      </w:r>
      <w:r w:rsidR="00015B85">
        <w:rPr>
          <w:sz w:val="24"/>
          <w:szCs w:val="24"/>
          <w:lang w:val="en-US"/>
        </w:rPr>
        <w:t>there is a predominance of match assets—that is, assets that are worth more to insiders jointly than to outsiders separately</w:t>
      </w:r>
      <w:r w:rsidRPr="00FD6B58">
        <w:rPr>
          <w:sz w:val="24"/>
          <w:szCs w:val="24"/>
          <w:lang w:val="en-US"/>
        </w:rPr>
        <w:t>.</w:t>
      </w:r>
      <w:bookmarkStart w:id="5" w:name="_Ref455570654"/>
      <w:r w:rsidRPr="00FD6B58">
        <w:rPr>
          <w:rStyle w:val="Refdenotaderodap"/>
          <w:sz w:val="24"/>
          <w:szCs w:val="24"/>
        </w:rPr>
        <w:footnoteReference w:id="32"/>
      </w:r>
      <w:bookmarkEnd w:id="5"/>
      <w:r w:rsidRPr="00FD6B58">
        <w:rPr>
          <w:sz w:val="24"/>
          <w:szCs w:val="24"/>
          <w:lang w:val="en-US"/>
        </w:rPr>
        <w:t xml:space="preserve"> </w:t>
      </w:r>
    </w:p>
    <w:p w:rsidR="00E05C89" w:rsidRDefault="00D06CC8" w:rsidP="00260800">
      <w:pPr>
        <w:ind w:firstLine="720"/>
        <w:jc w:val="both"/>
        <w:rPr>
          <w:sz w:val="24"/>
          <w:szCs w:val="24"/>
          <w:lang w:val="en-US"/>
        </w:rPr>
      </w:pPr>
      <w:r w:rsidRPr="00FD6B58">
        <w:rPr>
          <w:sz w:val="24"/>
          <w:szCs w:val="24"/>
          <w:lang w:val="en-US"/>
        </w:rPr>
        <w:t xml:space="preserve">Finally, </w:t>
      </w:r>
      <w:r w:rsidR="00583578">
        <w:rPr>
          <w:sz w:val="24"/>
          <w:szCs w:val="24"/>
          <w:lang w:val="en-US"/>
        </w:rPr>
        <w:t xml:space="preserve">as noted by </w:t>
      </w:r>
      <w:proofErr w:type="spellStart"/>
      <w:r w:rsidR="00CF4AD7">
        <w:rPr>
          <w:sz w:val="24"/>
          <w:szCs w:val="24"/>
          <w:lang w:val="en-US"/>
        </w:rPr>
        <w:t>Hansmann</w:t>
      </w:r>
      <w:proofErr w:type="spellEnd"/>
      <w:r w:rsidR="00CF4AD7">
        <w:rPr>
          <w:sz w:val="24"/>
          <w:szCs w:val="24"/>
          <w:lang w:val="en-US"/>
        </w:rPr>
        <w:t xml:space="preserve"> and </w:t>
      </w:r>
      <w:proofErr w:type="spellStart"/>
      <w:r w:rsidR="00CF4AD7">
        <w:rPr>
          <w:sz w:val="24"/>
          <w:szCs w:val="24"/>
          <w:lang w:val="en-US"/>
        </w:rPr>
        <w:t>Kraakman</w:t>
      </w:r>
      <w:proofErr w:type="spellEnd"/>
      <w:r w:rsidR="00CF4AD7">
        <w:rPr>
          <w:sz w:val="24"/>
          <w:szCs w:val="24"/>
          <w:lang w:val="en-US"/>
        </w:rPr>
        <w:t xml:space="preserve">, </w:t>
      </w:r>
      <w:r w:rsidR="0072110B">
        <w:rPr>
          <w:sz w:val="24"/>
          <w:szCs w:val="24"/>
          <w:lang w:val="en-US"/>
        </w:rPr>
        <w:t>w</w:t>
      </w:r>
      <w:r w:rsidRPr="00FD6B58">
        <w:rPr>
          <w:sz w:val="24"/>
          <w:szCs w:val="24"/>
          <w:lang w:val="en-US"/>
        </w:rPr>
        <w:t xml:space="preserve">hile </w:t>
      </w:r>
      <w:r w:rsidR="00561853">
        <w:rPr>
          <w:sz w:val="24"/>
          <w:szCs w:val="24"/>
          <w:lang w:val="en-US"/>
        </w:rPr>
        <w:t xml:space="preserve">private contracting may suffice to produce </w:t>
      </w:r>
      <w:r w:rsidRPr="00FD6B58">
        <w:rPr>
          <w:sz w:val="24"/>
          <w:szCs w:val="24"/>
          <w:lang w:val="en-US"/>
        </w:rPr>
        <w:t>other features of the corporate form (such as limited liability)</w:t>
      </w:r>
      <w:proofErr w:type="gramStart"/>
      <w:r w:rsidR="00561853">
        <w:rPr>
          <w:sz w:val="24"/>
          <w:szCs w:val="24"/>
          <w:lang w:val="en-US"/>
        </w:rPr>
        <w:t>,</w:t>
      </w:r>
      <w:proofErr w:type="gramEnd"/>
      <w:r w:rsidRPr="00FD6B58">
        <w:rPr>
          <w:sz w:val="24"/>
          <w:szCs w:val="24"/>
          <w:lang w:val="en-US"/>
        </w:rPr>
        <w:t xml:space="preserve"> </w:t>
      </w:r>
      <w:r w:rsidR="005D0B7B">
        <w:rPr>
          <w:sz w:val="24"/>
          <w:szCs w:val="24"/>
          <w:lang w:val="en-US"/>
        </w:rPr>
        <w:t xml:space="preserve">lock-in </w:t>
      </w:r>
      <w:r w:rsidRPr="00FD6B58">
        <w:rPr>
          <w:sz w:val="24"/>
          <w:szCs w:val="24"/>
          <w:lang w:val="en-US"/>
        </w:rPr>
        <w:t>necessa</w:t>
      </w:r>
      <w:r w:rsidR="00561853">
        <w:rPr>
          <w:sz w:val="24"/>
          <w:szCs w:val="24"/>
          <w:lang w:val="en-US"/>
        </w:rPr>
        <w:t>rily requires law.</w:t>
      </w:r>
      <w:r w:rsidRPr="00FD6B58">
        <w:rPr>
          <w:rStyle w:val="Refdenotaderodap"/>
          <w:sz w:val="24"/>
          <w:szCs w:val="24"/>
        </w:rPr>
        <w:footnoteReference w:id="33"/>
      </w:r>
      <w:r w:rsidR="0026293D" w:rsidRPr="0026293D">
        <w:rPr>
          <w:lang w:val="en-US"/>
        </w:rPr>
        <w:t xml:space="preserve"> </w:t>
      </w:r>
      <w:r w:rsidR="00583578">
        <w:rPr>
          <w:sz w:val="24"/>
          <w:szCs w:val="24"/>
          <w:lang w:val="en-US"/>
        </w:rPr>
        <w:t>Obtaining lock-in vis-à-vis creditors would</w:t>
      </w:r>
      <w:r w:rsidR="0026293D" w:rsidRPr="0026293D">
        <w:rPr>
          <w:sz w:val="24"/>
          <w:szCs w:val="24"/>
          <w:lang w:val="en-US"/>
        </w:rPr>
        <w:t xml:space="preserve"> </w:t>
      </w:r>
      <w:r w:rsidR="001C23CC">
        <w:rPr>
          <w:sz w:val="24"/>
          <w:szCs w:val="24"/>
          <w:lang w:val="en-US"/>
        </w:rPr>
        <w:t>require</w:t>
      </w:r>
      <w:r w:rsidR="004A5AED">
        <w:rPr>
          <w:sz w:val="24"/>
          <w:szCs w:val="24"/>
          <w:lang w:val="en-US"/>
        </w:rPr>
        <w:t xml:space="preserve"> </w:t>
      </w:r>
      <w:r w:rsidR="0026293D" w:rsidRPr="0026293D">
        <w:rPr>
          <w:sz w:val="24"/>
          <w:szCs w:val="24"/>
          <w:lang w:val="en-US"/>
        </w:rPr>
        <w:t>shareholders to negotiate individual subordination agreements with each of their personal creditors—a proposition fraught with moral hazard concerns and transaction costs.</w:t>
      </w:r>
      <w:r w:rsidR="00776EDB">
        <w:rPr>
          <w:rStyle w:val="Refdenotaderodap"/>
          <w:sz w:val="24"/>
          <w:szCs w:val="24"/>
          <w:lang w:val="en-US"/>
        </w:rPr>
        <w:footnoteReference w:id="34"/>
      </w:r>
      <w:r w:rsidR="0026293D">
        <w:rPr>
          <w:sz w:val="24"/>
          <w:szCs w:val="24"/>
          <w:lang w:val="en-US"/>
        </w:rPr>
        <w:t xml:space="preserve"> </w:t>
      </w:r>
      <w:r w:rsidR="00583578">
        <w:rPr>
          <w:sz w:val="24"/>
          <w:szCs w:val="24"/>
          <w:lang w:val="en-US"/>
        </w:rPr>
        <w:t xml:space="preserve">The provision of lock-in among owners is less daunting, but </w:t>
      </w:r>
      <w:r w:rsidR="00EE34F8">
        <w:rPr>
          <w:sz w:val="24"/>
          <w:szCs w:val="24"/>
          <w:lang w:val="en-US"/>
        </w:rPr>
        <w:t xml:space="preserve">still </w:t>
      </w:r>
      <w:r w:rsidR="00583578">
        <w:rPr>
          <w:sz w:val="24"/>
          <w:szCs w:val="24"/>
          <w:lang w:val="en-US"/>
        </w:rPr>
        <w:t xml:space="preserve">legally uncertain. </w:t>
      </w:r>
      <w:r w:rsidR="00A87A73">
        <w:rPr>
          <w:sz w:val="24"/>
          <w:szCs w:val="24"/>
          <w:lang w:val="en-US"/>
        </w:rPr>
        <w:t>In Brazil, as elsewhere, i</w:t>
      </w:r>
      <w:r w:rsidR="0026293D">
        <w:rPr>
          <w:sz w:val="24"/>
          <w:szCs w:val="24"/>
          <w:lang w:val="en-US"/>
        </w:rPr>
        <w:t>t is unclear that the owners’ agreement not to partition property would be effective in view of the law’s strong stance toward permitting partitioning of a joint property by tenants in common.</w:t>
      </w:r>
      <w:r w:rsidR="0072110B">
        <w:rPr>
          <w:rStyle w:val="Refdenotaderodap"/>
          <w:sz w:val="24"/>
          <w:szCs w:val="24"/>
          <w:lang w:val="en-US"/>
        </w:rPr>
        <w:footnoteReference w:id="35"/>
      </w:r>
      <w:r w:rsidR="0026293D">
        <w:rPr>
          <w:sz w:val="24"/>
          <w:szCs w:val="24"/>
          <w:lang w:val="en-US"/>
        </w:rPr>
        <w:t xml:space="preserve"> </w:t>
      </w:r>
    </w:p>
    <w:p w:rsidR="00D06CC8" w:rsidRPr="000A5A66" w:rsidRDefault="0072110B" w:rsidP="00260800">
      <w:pPr>
        <w:ind w:firstLine="720"/>
        <w:jc w:val="both"/>
        <w:rPr>
          <w:sz w:val="24"/>
          <w:szCs w:val="24"/>
          <w:lang w:val="en-US"/>
        </w:rPr>
      </w:pPr>
      <w:r>
        <w:rPr>
          <w:sz w:val="24"/>
          <w:szCs w:val="24"/>
          <w:lang w:val="en-US"/>
        </w:rPr>
        <w:t xml:space="preserve">The essential role of law in creating (or recognizing) </w:t>
      </w:r>
      <w:r w:rsidR="005D0B7B">
        <w:rPr>
          <w:sz w:val="24"/>
          <w:szCs w:val="24"/>
          <w:lang w:val="en-US"/>
        </w:rPr>
        <w:t>lock-in</w:t>
      </w:r>
      <w:r>
        <w:rPr>
          <w:sz w:val="24"/>
          <w:szCs w:val="24"/>
          <w:lang w:val="en-US"/>
        </w:rPr>
        <w:t xml:space="preserve"> is </w:t>
      </w:r>
      <w:r w:rsidR="000A1893">
        <w:rPr>
          <w:sz w:val="24"/>
          <w:szCs w:val="24"/>
          <w:lang w:val="en-US"/>
        </w:rPr>
        <w:t>critical for our purposes.</w:t>
      </w:r>
      <w:r>
        <w:rPr>
          <w:sz w:val="24"/>
          <w:szCs w:val="24"/>
          <w:lang w:val="en-US"/>
        </w:rPr>
        <w:t xml:space="preserve"> </w:t>
      </w:r>
      <w:r w:rsidR="000A1893">
        <w:rPr>
          <w:sz w:val="24"/>
          <w:szCs w:val="24"/>
          <w:lang w:val="en-US"/>
        </w:rPr>
        <w:t>O</w:t>
      </w:r>
      <w:r>
        <w:rPr>
          <w:sz w:val="24"/>
          <w:szCs w:val="24"/>
          <w:lang w:val="en-US"/>
        </w:rPr>
        <w:t xml:space="preserve">nce Brazilian courts eliminate this legal </w:t>
      </w:r>
      <w:r w:rsidR="009D096F">
        <w:rPr>
          <w:sz w:val="24"/>
          <w:szCs w:val="24"/>
          <w:lang w:val="en-US"/>
        </w:rPr>
        <w:t>attribute</w:t>
      </w:r>
      <w:r>
        <w:rPr>
          <w:sz w:val="24"/>
          <w:szCs w:val="24"/>
          <w:lang w:val="en-US"/>
        </w:rPr>
        <w:t xml:space="preserve">, it is doubtful that parties </w:t>
      </w:r>
      <w:r w:rsidR="00F5779D">
        <w:rPr>
          <w:sz w:val="24"/>
          <w:szCs w:val="24"/>
          <w:lang w:val="en-US"/>
        </w:rPr>
        <w:t>will be able to</w:t>
      </w:r>
      <w:r w:rsidR="001739F9">
        <w:rPr>
          <w:sz w:val="24"/>
          <w:szCs w:val="24"/>
          <w:lang w:val="en-US"/>
        </w:rPr>
        <w:t xml:space="preserve"> </w:t>
      </w:r>
      <w:r w:rsidR="000A1893">
        <w:rPr>
          <w:sz w:val="24"/>
          <w:szCs w:val="24"/>
          <w:lang w:val="en-US"/>
        </w:rPr>
        <w:t xml:space="preserve">obtain </w:t>
      </w:r>
      <w:r w:rsidR="009D096F">
        <w:rPr>
          <w:sz w:val="24"/>
          <w:szCs w:val="24"/>
          <w:lang w:val="en-US"/>
        </w:rPr>
        <w:t>the same</w:t>
      </w:r>
      <w:r w:rsidR="000A1893">
        <w:rPr>
          <w:sz w:val="24"/>
          <w:szCs w:val="24"/>
          <w:lang w:val="en-US"/>
        </w:rPr>
        <w:t xml:space="preserve"> results</w:t>
      </w:r>
      <w:r>
        <w:rPr>
          <w:sz w:val="24"/>
          <w:szCs w:val="24"/>
          <w:lang w:val="en-US"/>
        </w:rPr>
        <w:t xml:space="preserve"> through private contracting</w:t>
      </w:r>
      <w:r w:rsidR="000A1893">
        <w:rPr>
          <w:sz w:val="24"/>
          <w:szCs w:val="24"/>
          <w:lang w:val="en-US"/>
        </w:rPr>
        <w:t xml:space="preserve">. For instance, an attempt to write a shareholders agreement providing for </w:t>
      </w:r>
      <w:r w:rsidR="005D0B7B">
        <w:rPr>
          <w:sz w:val="24"/>
          <w:szCs w:val="24"/>
          <w:lang w:val="en-US"/>
        </w:rPr>
        <w:t>lock-in</w:t>
      </w:r>
      <w:r w:rsidR="000A1893">
        <w:rPr>
          <w:sz w:val="24"/>
          <w:szCs w:val="24"/>
          <w:lang w:val="en-US"/>
        </w:rPr>
        <w:t xml:space="preserve"> faces two obstacles: (</w:t>
      </w:r>
      <w:proofErr w:type="spellStart"/>
      <w:r w:rsidR="000A1893">
        <w:rPr>
          <w:sz w:val="24"/>
          <w:szCs w:val="24"/>
          <w:lang w:val="en-US"/>
        </w:rPr>
        <w:t>i</w:t>
      </w:r>
      <w:proofErr w:type="spellEnd"/>
      <w:r w:rsidR="000A1893">
        <w:rPr>
          <w:sz w:val="24"/>
          <w:szCs w:val="24"/>
          <w:lang w:val="en-US"/>
        </w:rPr>
        <w:t>) it does</w:t>
      </w:r>
      <w:r w:rsidR="00AD0027">
        <w:rPr>
          <w:sz w:val="24"/>
          <w:szCs w:val="24"/>
          <w:lang w:val="en-US"/>
        </w:rPr>
        <w:t xml:space="preserve"> not</w:t>
      </w:r>
      <w:r w:rsidR="00F316F6">
        <w:rPr>
          <w:sz w:val="24"/>
          <w:szCs w:val="24"/>
          <w:lang w:val="en-US"/>
        </w:rPr>
        <w:t xml:space="preserve"> bind creditors of </w:t>
      </w:r>
      <w:r w:rsidR="000A1893">
        <w:rPr>
          <w:sz w:val="24"/>
          <w:szCs w:val="24"/>
          <w:lang w:val="en-US"/>
        </w:rPr>
        <w:t>shareholders</w:t>
      </w:r>
      <w:r w:rsidR="00AD0027">
        <w:rPr>
          <w:sz w:val="24"/>
          <w:szCs w:val="24"/>
          <w:lang w:val="en-US"/>
        </w:rPr>
        <w:t>, which are third parties vis-à-vis the contract</w:t>
      </w:r>
      <w:r w:rsidR="000A1893">
        <w:rPr>
          <w:sz w:val="24"/>
          <w:szCs w:val="24"/>
          <w:lang w:val="en-US"/>
        </w:rPr>
        <w:t xml:space="preserve"> and (ii) it cannot last for an unlimited or very long period,</w:t>
      </w:r>
      <w:r w:rsidR="008A7B36">
        <w:rPr>
          <w:sz w:val="24"/>
          <w:szCs w:val="24"/>
          <w:lang w:val="en-US"/>
        </w:rPr>
        <w:t xml:space="preserve"> given the public policy against perpetual </w:t>
      </w:r>
      <w:r w:rsidR="000A1893">
        <w:rPr>
          <w:sz w:val="24"/>
          <w:szCs w:val="24"/>
          <w:lang w:val="en-US"/>
        </w:rPr>
        <w:t>contracts.</w:t>
      </w:r>
      <w:r w:rsidR="00E05C89">
        <w:rPr>
          <w:rStyle w:val="Refdenotaderodap"/>
          <w:sz w:val="24"/>
          <w:szCs w:val="24"/>
          <w:lang w:val="en-US"/>
        </w:rPr>
        <w:footnoteReference w:id="36"/>
      </w:r>
      <w:r w:rsidR="00A41EA8">
        <w:rPr>
          <w:sz w:val="24"/>
          <w:szCs w:val="24"/>
          <w:lang w:val="en-US"/>
        </w:rPr>
        <w:t xml:space="preserve"> </w:t>
      </w:r>
      <w:r w:rsidR="00E748D4">
        <w:rPr>
          <w:sz w:val="24"/>
          <w:szCs w:val="24"/>
          <w:lang w:val="en-US"/>
        </w:rPr>
        <w:t xml:space="preserve">Moreover, courts have at times applied the same rationale used to grant withdrawal rights—breach of </w:t>
      </w:r>
      <w:proofErr w:type="spellStart"/>
      <w:r w:rsidR="00E748D4">
        <w:rPr>
          <w:i/>
          <w:sz w:val="24"/>
          <w:szCs w:val="24"/>
          <w:lang w:val="en-US"/>
        </w:rPr>
        <w:t>affectio</w:t>
      </w:r>
      <w:proofErr w:type="spellEnd"/>
      <w:r w:rsidR="00E748D4">
        <w:rPr>
          <w:i/>
          <w:sz w:val="24"/>
          <w:szCs w:val="24"/>
          <w:lang w:val="en-US"/>
        </w:rPr>
        <w:t xml:space="preserve"> </w:t>
      </w:r>
      <w:proofErr w:type="spellStart"/>
      <w:r w:rsidR="00E748D4">
        <w:rPr>
          <w:i/>
          <w:sz w:val="24"/>
          <w:szCs w:val="24"/>
          <w:lang w:val="en-US"/>
        </w:rPr>
        <w:t>societatis</w:t>
      </w:r>
      <w:proofErr w:type="spellEnd"/>
      <w:r w:rsidR="00E748D4">
        <w:rPr>
          <w:sz w:val="24"/>
          <w:szCs w:val="24"/>
          <w:lang w:val="en-US"/>
        </w:rPr>
        <w:t>, as discussed below—to permit disgruntled shareholders to walk away from shareholder agreements.</w:t>
      </w:r>
      <w:r w:rsidR="00E748D4">
        <w:rPr>
          <w:rStyle w:val="Refdenotaderodap"/>
          <w:sz w:val="24"/>
          <w:szCs w:val="24"/>
          <w:lang w:val="en-US"/>
        </w:rPr>
        <w:footnoteReference w:id="37"/>
      </w:r>
      <w:r w:rsidR="00E748D4">
        <w:rPr>
          <w:sz w:val="24"/>
          <w:szCs w:val="24"/>
          <w:lang w:val="en-US"/>
        </w:rPr>
        <w:t xml:space="preserve"> </w:t>
      </w:r>
    </w:p>
    <w:p w:rsidR="00D06CC8" w:rsidRPr="00FD6B58" w:rsidRDefault="00D06CC8" w:rsidP="008266AF">
      <w:pPr>
        <w:ind w:firstLine="720"/>
        <w:jc w:val="both"/>
        <w:rPr>
          <w:sz w:val="24"/>
          <w:szCs w:val="24"/>
          <w:lang w:val="en-US"/>
        </w:rPr>
      </w:pPr>
      <w:r w:rsidRPr="00FD6B58">
        <w:rPr>
          <w:sz w:val="24"/>
          <w:szCs w:val="24"/>
          <w:lang w:val="en-US"/>
        </w:rPr>
        <w:lastRenderedPageBreak/>
        <w:t xml:space="preserve">Nevertheless, </w:t>
      </w:r>
      <w:r w:rsidR="005D0B7B">
        <w:rPr>
          <w:sz w:val="24"/>
          <w:szCs w:val="24"/>
          <w:lang w:val="en-US"/>
        </w:rPr>
        <w:t>lock-in</w:t>
      </w:r>
      <w:r w:rsidRPr="00FD6B58">
        <w:rPr>
          <w:sz w:val="24"/>
          <w:szCs w:val="24"/>
          <w:lang w:val="en-US"/>
        </w:rPr>
        <w:t xml:space="preserve"> entai</w:t>
      </w:r>
      <w:r w:rsidR="008726EC">
        <w:rPr>
          <w:sz w:val="24"/>
          <w:szCs w:val="24"/>
          <w:lang w:val="en-US"/>
        </w:rPr>
        <w:t xml:space="preserve">ls costs as well as benefits. </w:t>
      </w:r>
      <w:r w:rsidR="001739F9">
        <w:rPr>
          <w:sz w:val="24"/>
          <w:szCs w:val="24"/>
          <w:lang w:val="en-US"/>
        </w:rPr>
        <w:t>If</w:t>
      </w:r>
      <w:r w:rsidR="008726EC">
        <w:rPr>
          <w:sz w:val="24"/>
          <w:szCs w:val="24"/>
          <w:lang w:val="en-US"/>
        </w:rPr>
        <w:t xml:space="preserve"> the conceptualization of the </w:t>
      </w:r>
      <w:r w:rsidRPr="00FD6B58">
        <w:rPr>
          <w:sz w:val="24"/>
          <w:szCs w:val="24"/>
          <w:lang w:val="en-US"/>
        </w:rPr>
        <w:t xml:space="preserve">economic </w:t>
      </w:r>
      <w:r w:rsidR="001C29E7">
        <w:rPr>
          <w:sz w:val="24"/>
          <w:szCs w:val="24"/>
          <w:lang w:val="en-US"/>
        </w:rPr>
        <w:t>benefits</w:t>
      </w:r>
      <w:r w:rsidRPr="00FD6B58">
        <w:rPr>
          <w:sz w:val="24"/>
          <w:szCs w:val="24"/>
          <w:lang w:val="en-US"/>
        </w:rPr>
        <w:t xml:space="preserve"> of </w:t>
      </w:r>
      <w:r w:rsidR="005D0B7B">
        <w:rPr>
          <w:sz w:val="24"/>
          <w:szCs w:val="24"/>
          <w:lang w:val="en-US"/>
        </w:rPr>
        <w:t>lock-in</w:t>
      </w:r>
      <w:r w:rsidRPr="00FD6B58">
        <w:rPr>
          <w:sz w:val="24"/>
          <w:szCs w:val="24"/>
          <w:lang w:val="en-US"/>
        </w:rPr>
        <w:t xml:space="preserve"> is relatively recent, </w:t>
      </w:r>
      <w:r w:rsidR="005D0B7B">
        <w:rPr>
          <w:sz w:val="24"/>
          <w:szCs w:val="24"/>
          <w:lang w:val="en-US"/>
        </w:rPr>
        <w:t xml:space="preserve">scholars and practitioners have long taken notice of its </w:t>
      </w:r>
      <w:r w:rsidR="001739F9">
        <w:rPr>
          <w:sz w:val="24"/>
          <w:szCs w:val="24"/>
          <w:lang w:val="en-US"/>
        </w:rPr>
        <w:t>drawbacks</w:t>
      </w:r>
      <w:r w:rsidRPr="00FD6B58">
        <w:rPr>
          <w:sz w:val="24"/>
          <w:szCs w:val="24"/>
          <w:lang w:val="en-US"/>
        </w:rPr>
        <w:t>.</w:t>
      </w:r>
      <w:r w:rsidR="00D848F6">
        <w:rPr>
          <w:rStyle w:val="Refdenotaderodap"/>
          <w:sz w:val="24"/>
          <w:szCs w:val="24"/>
          <w:lang w:val="en-US"/>
        </w:rPr>
        <w:footnoteReference w:id="38"/>
      </w:r>
      <w:r w:rsidRPr="00FD6B58">
        <w:rPr>
          <w:sz w:val="24"/>
          <w:szCs w:val="24"/>
          <w:lang w:val="en-US"/>
        </w:rPr>
        <w:t xml:space="preserve"> By denying shareholders a claim on the corporation’s assets, </w:t>
      </w:r>
      <w:r w:rsidR="005D0B7B">
        <w:rPr>
          <w:sz w:val="24"/>
          <w:szCs w:val="24"/>
          <w:lang w:val="en-US"/>
        </w:rPr>
        <w:t>lock-in</w:t>
      </w:r>
      <w:r w:rsidRPr="00FD6B58">
        <w:rPr>
          <w:sz w:val="24"/>
          <w:szCs w:val="24"/>
          <w:lang w:val="en-US"/>
        </w:rPr>
        <w:t xml:space="preserve"> increases agency costs and facilitates the expropriation of minority </w:t>
      </w:r>
      <w:r w:rsidR="00C21C6B">
        <w:rPr>
          <w:sz w:val="24"/>
          <w:szCs w:val="24"/>
          <w:lang w:val="en-US"/>
        </w:rPr>
        <w:t>investors</w:t>
      </w:r>
      <w:r w:rsidRPr="00FD6B58">
        <w:rPr>
          <w:sz w:val="24"/>
          <w:szCs w:val="24"/>
          <w:lang w:val="en-US"/>
        </w:rPr>
        <w:t xml:space="preserve">. </w:t>
      </w:r>
      <w:r w:rsidR="008726EC">
        <w:rPr>
          <w:sz w:val="24"/>
          <w:szCs w:val="24"/>
          <w:lang w:val="en-US"/>
        </w:rPr>
        <w:t>E</w:t>
      </w:r>
      <w:r w:rsidR="00E748D4">
        <w:rPr>
          <w:sz w:val="24"/>
          <w:szCs w:val="24"/>
          <w:lang w:val="en-US"/>
        </w:rPr>
        <w:t>conomic historians</w:t>
      </w:r>
      <w:r w:rsidRPr="00FD6B58">
        <w:rPr>
          <w:sz w:val="24"/>
          <w:szCs w:val="24"/>
          <w:lang w:val="en-US"/>
        </w:rPr>
        <w:t xml:space="preserve"> </w:t>
      </w:r>
      <w:r w:rsidR="003D66DD" w:rsidRPr="00FD6B58">
        <w:rPr>
          <w:sz w:val="24"/>
          <w:szCs w:val="24"/>
          <w:lang w:val="en-US"/>
        </w:rPr>
        <w:t xml:space="preserve">Naomi </w:t>
      </w:r>
      <w:proofErr w:type="spellStart"/>
      <w:r w:rsidR="003D66DD" w:rsidRPr="00FD6B58">
        <w:rPr>
          <w:sz w:val="24"/>
          <w:szCs w:val="24"/>
          <w:lang w:val="en-US"/>
        </w:rPr>
        <w:t>Lamoreaux</w:t>
      </w:r>
      <w:proofErr w:type="spellEnd"/>
      <w:r w:rsidR="003D66DD" w:rsidRPr="00FD6B58">
        <w:rPr>
          <w:sz w:val="24"/>
          <w:szCs w:val="24"/>
          <w:lang w:val="en-US"/>
        </w:rPr>
        <w:t xml:space="preserve"> and Jean-Laurent Rosenthal </w:t>
      </w:r>
      <w:r w:rsidRPr="00FD6B58">
        <w:rPr>
          <w:sz w:val="24"/>
          <w:szCs w:val="24"/>
          <w:lang w:val="en-US"/>
        </w:rPr>
        <w:t>have argued that the tradeoff between agency costs and untimely dissolution drove the choice between the partnership and the corporation in early U.S. corporate history</w:t>
      </w:r>
      <w:r w:rsidR="004C5670">
        <w:rPr>
          <w:sz w:val="24"/>
          <w:szCs w:val="24"/>
          <w:lang w:val="en-US"/>
        </w:rPr>
        <w:t>, when</w:t>
      </w:r>
      <w:r w:rsidRPr="00FD6B58">
        <w:rPr>
          <w:sz w:val="24"/>
          <w:szCs w:val="24"/>
          <w:lang w:val="en-US"/>
        </w:rPr>
        <w:t xml:space="preserve"> legal minority protections were weak.</w:t>
      </w:r>
      <w:bookmarkStart w:id="6" w:name="_Ref455607239"/>
      <w:r w:rsidRPr="00FD6B58">
        <w:rPr>
          <w:rStyle w:val="Refdenotaderodap"/>
          <w:sz w:val="24"/>
          <w:szCs w:val="24"/>
        </w:rPr>
        <w:footnoteReference w:id="39"/>
      </w:r>
      <w:bookmarkEnd w:id="6"/>
      <w:r w:rsidRPr="00FD6B58">
        <w:rPr>
          <w:sz w:val="24"/>
          <w:szCs w:val="24"/>
          <w:lang w:val="en-US"/>
        </w:rPr>
        <w:t xml:space="preserve"> </w:t>
      </w:r>
      <w:r w:rsidR="004D656A" w:rsidRPr="00FD6B58">
        <w:rPr>
          <w:sz w:val="24"/>
          <w:szCs w:val="24"/>
          <w:lang w:val="en-US"/>
        </w:rPr>
        <w:t>The</w:t>
      </w:r>
      <w:r w:rsidRPr="00FD6B58">
        <w:rPr>
          <w:sz w:val="24"/>
          <w:szCs w:val="24"/>
          <w:lang w:val="en-US"/>
        </w:rPr>
        <w:t xml:space="preserve"> persistent popularity of the partnership following the advent of general corporation laws</w:t>
      </w:r>
      <w:r w:rsidR="004C5670">
        <w:rPr>
          <w:sz w:val="24"/>
          <w:szCs w:val="24"/>
          <w:lang w:val="en-US"/>
        </w:rPr>
        <w:t xml:space="preserve"> in the nineteenth century</w:t>
      </w:r>
      <w:r w:rsidRPr="00FD6B58">
        <w:rPr>
          <w:sz w:val="24"/>
          <w:szCs w:val="24"/>
          <w:lang w:val="en-US"/>
        </w:rPr>
        <w:t xml:space="preserve"> suggests that numerous investors and entrepreneurs were willing to endure unlimited liability and the risks of untimely dissolution to avoid the prospect of abuse by controlling shareholders that followed from </w:t>
      </w:r>
      <w:r w:rsidR="005D0B7B">
        <w:rPr>
          <w:sz w:val="24"/>
          <w:szCs w:val="24"/>
          <w:lang w:val="en-US"/>
        </w:rPr>
        <w:t>lock-in</w:t>
      </w:r>
      <w:r w:rsidRPr="00FD6B58">
        <w:rPr>
          <w:sz w:val="24"/>
          <w:szCs w:val="24"/>
          <w:lang w:val="en-US"/>
        </w:rPr>
        <w:t>.</w:t>
      </w:r>
      <w:r w:rsidRPr="00FD6B58">
        <w:rPr>
          <w:rStyle w:val="Refdenotaderodap"/>
          <w:sz w:val="24"/>
          <w:szCs w:val="24"/>
        </w:rPr>
        <w:footnoteReference w:id="40"/>
      </w:r>
      <w:r w:rsidRPr="00FD6B58">
        <w:rPr>
          <w:sz w:val="24"/>
          <w:szCs w:val="24"/>
          <w:lang w:val="en-US"/>
        </w:rPr>
        <w:t xml:space="preserve"> </w:t>
      </w:r>
    </w:p>
    <w:p w:rsidR="00751FCC" w:rsidRDefault="00D06CC8" w:rsidP="00751FCC">
      <w:pPr>
        <w:ind w:firstLine="708"/>
        <w:jc w:val="both"/>
        <w:rPr>
          <w:sz w:val="24"/>
          <w:szCs w:val="24"/>
          <w:lang w:val="en-US"/>
        </w:rPr>
      </w:pPr>
      <w:r w:rsidRPr="00FD6B58">
        <w:rPr>
          <w:sz w:val="24"/>
          <w:szCs w:val="24"/>
          <w:lang w:val="en-US"/>
        </w:rPr>
        <w:t>The agency costs between controlling and non-controlling shareholders are</w:t>
      </w:r>
      <w:r w:rsidR="00426779">
        <w:rPr>
          <w:sz w:val="24"/>
          <w:szCs w:val="24"/>
          <w:lang w:val="en-US"/>
        </w:rPr>
        <w:t xml:space="preserve"> </w:t>
      </w:r>
      <w:r w:rsidR="008E4308">
        <w:rPr>
          <w:sz w:val="24"/>
          <w:szCs w:val="24"/>
          <w:lang w:val="en-US"/>
        </w:rPr>
        <w:t xml:space="preserve">far greater </w:t>
      </w:r>
      <w:r w:rsidRPr="00FD6B58">
        <w:rPr>
          <w:sz w:val="24"/>
          <w:szCs w:val="24"/>
          <w:lang w:val="en-US"/>
        </w:rPr>
        <w:t xml:space="preserve">in the close corporation context, </w:t>
      </w:r>
      <w:r w:rsidR="008E4308">
        <w:rPr>
          <w:sz w:val="24"/>
          <w:szCs w:val="24"/>
          <w:lang w:val="en-US"/>
        </w:rPr>
        <w:t>where</w:t>
      </w:r>
      <w:r w:rsidRPr="00FD6B58">
        <w:rPr>
          <w:sz w:val="24"/>
          <w:szCs w:val="24"/>
          <w:lang w:val="en-US"/>
        </w:rPr>
        <w:t xml:space="preserve"> the combination of reduced regulation and the absence of a market for the shares</w:t>
      </w:r>
      <w:r w:rsidR="00066553">
        <w:rPr>
          <w:sz w:val="24"/>
          <w:szCs w:val="24"/>
          <w:lang w:val="en-US"/>
        </w:rPr>
        <w:t xml:space="preserve"> leaves minority shareholders in</w:t>
      </w:r>
      <w:r w:rsidRPr="00FD6B58">
        <w:rPr>
          <w:sz w:val="24"/>
          <w:szCs w:val="24"/>
          <w:lang w:val="en-US"/>
        </w:rPr>
        <w:t xml:space="preserve"> a particularly fragile position. </w:t>
      </w:r>
      <w:r w:rsidR="005A5235">
        <w:rPr>
          <w:sz w:val="24"/>
          <w:szCs w:val="24"/>
          <w:lang w:val="en-US"/>
        </w:rPr>
        <w:t>T</w:t>
      </w:r>
      <w:r w:rsidRPr="00FD6B58">
        <w:rPr>
          <w:sz w:val="24"/>
          <w:szCs w:val="24"/>
          <w:lang w:val="en-US"/>
        </w:rPr>
        <w:t xml:space="preserve">he absence of an exit option </w:t>
      </w:r>
      <w:r w:rsidR="00426779">
        <w:rPr>
          <w:sz w:val="24"/>
          <w:szCs w:val="24"/>
          <w:lang w:val="en-US"/>
        </w:rPr>
        <w:t xml:space="preserve">for minority investors </w:t>
      </w:r>
      <w:r w:rsidR="008E4308">
        <w:rPr>
          <w:sz w:val="24"/>
          <w:szCs w:val="24"/>
          <w:lang w:val="en-US"/>
        </w:rPr>
        <w:t>has</w:t>
      </w:r>
      <w:r w:rsidRPr="00FD6B58">
        <w:rPr>
          <w:sz w:val="24"/>
          <w:szCs w:val="24"/>
          <w:lang w:val="en-US"/>
        </w:rPr>
        <w:t xml:space="preserve"> struck many </w:t>
      </w:r>
      <w:r w:rsidR="00B82F05">
        <w:rPr>
          <w:sz w:val="24"/>
          <w:szCs w:val="24"/>
          <w:lang w:val="en-US"/>
        </w:rPr>
        <w:t xml:space="preserve">commentators </w:t>
      </w:r>
      <w:r w:rsidRPr="00FD6B58">
        <w:rPr>
          <w:sz w:val="24"/>
          <w:szCs w:val="24"/>
          <w:lang w:val="en-US"/>
        </w:rPr>
        <w:t xml:space="preserve">as intolerable. </w:t>
      </w:r>
      <w:r w:rsidR="00D848F6">
        <w:rPr>
          <w:sz w:val="24"/>
          <w:szCs w:val="24"/>
          <w:lang w:val="en-US"/>
        </w:rPr>
        <w:t>A</w:t>
      </w:r>
      <w:r w:rsidR="001375E9">
        <w:rPr>
          <w:sz w:val="24"/>
          <w:szCs w:val="24"/>
          <w:lang w:val="en-US"/>
        </w:rPr>
        <w:t xml:space="preserve">t least since the 1950s </w:t>
      </w:r>
      <w:r w:rsidRPr="00FD6B58">
        <w:rPr>
          <w:sz w:val="24"/>
          <w:szCs w:val="24"/>
          <w:lang w:val="en-US"/>
        </w:rPr>
        <w:t xml:space="preserve">various U.S. scholars have proposed the award of dissolution rights to minority shareholders in </w:t>
      </w:r>
      <w:proofErr w:type="gramStart"/>
      <w:r w:rsidRPr="00FD6B58">
        <w:rPr>
          <w:sz w:val="24"/>
          <w:szCs w:val="24"/>
          <w:lang w:val="en-US"/>
        </w:rPr>
        <w:t>closely-held</w:t>
      </w:r>
      <w:proofErr w:type="gramEnd"/>
      <w:r w:rsidRPr="00FD6B58">
        <w:rPr>
          <w:sz w:val="24"/>
          <w:szCs w:val="24"/>
          <w:lang w:val="en-US"/>
        </w:rPr>
        <w:t xml:space="preserve"> corporations </w:t>
      </w:r>
      <w:r w:rsidRPr="00FD6B58">
        <w:rPr>
          <w:i/>
          <w:sz w:val="24"/>
          <w:szCs w:val="24"/>
          <w:lang w:val="en-US"/>
        </w:rPr>
        <w:t xml:space="preserve">in analogy </w:t>
      </w:r>
      <w:r w:rsidRPr="00FD6B58">
        <w:rPr>
          <w:sz w:val="24"/>
          <w:szCs w:val="24"/>
          <w:lang w:val="en-US"/>
        </w:rPr>
        <w:t>to the rights enjoyed by members of a partnership</w:t>
      </w:r>
      <w:r w:rsidR="005D0B7B">
        <w:rPr>
          <w:sz w:val="24"/>
          <w:szCs w:val="24"/>
          <w:lang w:val="en-US"/>
        </w:rPr>
        <w:t>.</w:t>
      </w:r>
      <w:bookmarkStart w:id="7" w:name="_Ref455735257"/>
      <w:r w:rsidR="001C29E7">
        <w:rPr>
          <w:rStyle w:val="Refdenotaderodap"/>
          <w:sz w:val="24"/>
          <w:szCs w:val="24"/>
          <w:lang w:val="en-US"/>
        </w:rPr>
        <w:footnoteReference w:id="41"/>
      </w:r>
      <w:bookmarkEnd w:id="7"/>
      <w:r w:rsidR="00751FCC">
        <w:rPr>
          <w:sz w:val="24"/>
          <w:szCs w:val="24"/>
          <w:lang w:val="en-US"/>
        </w:rPr>
        <w:t xml:space="preserve"> T</w:t>
      </w:r>
      <w:r w:rsidR="00767E7C">
        <w:rPr>
          <w:sz w:val="24"/>
          <w:szCs w:val="24"/>
          <w:lang w:val="en-US"/>
        </w:rPr>
        <w:t>he central idea</w:t>
      </w:r>
      <w:r w:rsidR="005D0B7B">
        <w:rPr>
          <w:sz w:val="24"/>
          <w:szCs w:val="24"/>
          <w:lang w:val="en-US"/>
        </w:rPr>
        <w:t xml:space="preserve"> of </w:t>
      </w:r>
      <w:r w:rsidR="0020756C">
        <w:rPr>
          <w:sz w:val="24"/>
          <w:szCs w:val="24"/>
          <w:lang w:val="en-US"/>
        </w:rPr>
        <w:t xml:space="preserve">the influential article by </w:t>
      </w:r>
      <w:r w:rsidR="005D0B7B">
        <w:rPr>
          <w:sz w:val="24"/>
          <w:szCs w:val="24"/>
          <w:lang w:val="en-US"/>
        </w:rPr>
        <w:t>Hetherington and Dooley</w:t>
      </w:r>
      <w:r w:rsidR="00767E7C">
        <w:rPr>
          <w:sz w:val="24"/>
          <w:szCs w:val="24"/>
          <w:lang w:val="en-US"/>
        </w:rPr>
        <w:t xml:space="preserve"> is that “the close corporation is the functional equivalent of the partnership.”</w:t>
      </w:r>
      <w:r w:rsidR="00A02C62">
        <w:rPr>
          <w:rStyle w:val="Refdenotaderodap"/>
          <w:sz w:val="24"/>
          <w:szCs w:val="24"/>
          <w:lang w:val="en-US"/>
        </w:rPr>
        <w:footnoteReference w:id="42"/>
      </w:r>
      <w:r w:rsidRPr="00FD6B58">
        <w:rPr>
          <w:sz w:val="24"/>
          <w:szCs w:val="24"/>
          <w:lang w:val="en-US"/>
        </w:rPr>
        <w:t xml:space="preserve"> </w:t>
      </w:r>
    </w:p>
    <w:p w:rsidR="00D06CC8" w:rsidRDefault="00D06CC8" w:rsidP="00751FCC">
      <w:pPr>
        <w:ind w:firstLine="708"/>
        <w:jc w:val="both"/>
        <w:rPr>
          <w:sz w:val="24"/>
          <w:szCs w:val="24"/>
          <w:lang w:val="en-US"/>
        </w:rPr>
      </w:pPr>
      <w:r w:rsidRPr="00FD6B58">
        <w:rPr>
          <w:sz w:val="24"/>
          <w:szCs w:val="24"/>
          <w:lang w:val="en-US"/>
        </w:rPr>
        <w:t xml:space="preserve">Since then, U.S. courts have </w:t>
      </w:r>
      <w:r w:rsidR="001C29E7">
        <w:rPr>
          <w:sz w:val="24"/>
          <w:szCs w:val="24"/>
          <w:lang w:val="en-US"/>
        </w:rPr>
        <w:t xml:space="preserve">been </w:t>
      </w:r>
      <w:r w:rsidRPr="00FD6B58">
        <w:rPr>
          <w:sz w:val="24"/>
          <w:szCs w:val="24"/>
          <w:lang w:val="en-US"/>
        </w:rPr>
        <w:t xml:space="preserve">increasingly </w:t>
      </w:r>
      <w:r w:rsidR="001C29E7">
        <w:rPr>
          <w:sz w:val="24"/>
          <w:szCs w:val="24"/>
          <w:lang w:val="en-US"/>
        </w:rPr>
        <w:t xml:space="preserve">willing to </w:t>
      </w:r>
      <w:r w:rsidRPr="00FD6B58">
        <w:rPr>
          <w:sz w:val="24"/>
          <w:szCs w:val="24"/>
          <w:lang w:val="en-US"/>
        </w:rPr>
        <w:t xml:space="preserve">force the corporation or </w:t>
      </w:r>
      <w:r w:rsidR="001C29E7">
        <w:rPr>
          <w:sz w:val="24"/>
          <w:szCs w:val="24"/>
          <w:lang w:val="en-US"/>
        </w:rPr>
        <w:t>controlling shareholders</w:t>
      </w:r>
      <w:r w:rsidRPr="00FD6B58">
        <w:rPr>
          <w:sz w:val="24"/>
          <w:szCs w:val="24"/>
          <w:lang w:val="en-US"/>
        </w:rPr>
        <w:t xml:space="preserve"> to buy back the minority as a remedy in cases of minority oppression.</w:t>
      </w:r>
      <w:r w:rsidR="00D156FB">
        <w:rPr>
          <w:rStyle w:val="Refdenotaderodap"/>
          <w:sz w:val="24"/>
          <w:szCs w:val="24"/>
          <w:lang w:val="en-US"/>
        </w:rPr>
        <w:footnoteReference w:id="43"/>
      </w:r>
      <w:r w:rsidRPr="00FD6B58">
        <w:rPr>
          <w:sz w:val="24"/>
          <w:szCs w:val="24"/>
          <w:lang w:val="en-US"/>
        </w:rPr>
        <w:t xml:space="preserve"> </w:t>
      </w:r>
      <w:r w:rsidR="005822A9">
        <w:rPr>
          <w:sz w:val="24"/>
          <w:szCs w:val="24"/>
          <w:lang w:val="en-US"/>
        </w:rPr>
        <w:t>Yet</w:t>
      </w:r>
      <w:r w:rsidR="00D156FB">
        <w:rPr>
          <w:sz w:val="24"/>
          <w:szCs w:val="24"/>
          <w:lang w:val="en-US"/>
        </w:rPr>
        <w:t xml:space="preserve"> these de</w:t>
      </w:r>
      <w:r w:rsidR="0083576D">
        <w:rPr>
          <w:sz w:val="24"/>
          <w:szCs w:val="24"/>
          <w:lang w:val="en-US"/>
        </w:rPr>
        <w:t xml:space="preserve">cisions still require </w:t>
      </w:r>
      <w:r w:rsidR="001C5EA9">
        <w:rPr>
          <w:sz w:val="24"/>
          <w:szCs w:val="24"/>
          <w:lang w:val="en-US"/>
        </w:rPr>
        <w:t>a showing of</w:t>
      </w:r>
      <w:r w:rsidR="00D156FB">
        <w:rPr>
          <w:sz w:val="24"/>
          <w:szCs w:val="24"/>
          <w:lang w:val="en-US"/>
        </w:rPr>
        <w:t xml:space="preserve"> abuse, falling short of </w:t>
      </w:r>
      <w:r w:rsidR="00D156FB">
        <w:rPr>
          <w:sz w:val="24"/>
          <w:szCs w:val="24"/>
          <w:lang w:val="en-US"/>
        </w:rPr>
        <w:lastRenderedPageBreak/>
        <w:t xml:space="preserve">granting minority shareholders </w:t>
      </w:r>
      <w:r w:rsidR="002D0143">
        <w:rPr>
          <w:sz w:val="24"/>
          <w:szCs w:val="24"/>
          <w:lang w:val="en-US"/>
        </w:rPr>
        <w:t>a put option against the corporation</w:t>
      </w:r>
      <w:proofErr w:type="gramStart"/>
      <w:r w:rsidR="00D156FB">
        <w:rPr>
          <w:sz w:val="24"/>
          <w:szCs w:val="24"/>
          <w:lang w:val="en-US"/>
        </w:rPr>
        <w:t>—which</w:t>
      </w:r>
      <w:proofErr w:type="gramEnd"/>
      <w:r w:rsidR="00D156FB">
        <w:rPr>
          <w:sz w:val="24"/>
          <w:szCs w:val="24"/>
          <w:lang w:val="en-US"/>
        </w:rPr>
        <w:t xml:space="preserve"> </w:t>
      </w:r>
      <w:r w:rsidR="00AD75BD">
        <w:rPr>
          <w:sz w:val="24"/>
          <w:szCs w:val="24"/>
          <w:lang w:val="en-US"/>
        </w:rPr>
        <w:t xml:space="preserve">in practice </w:t>
      </w:r>
      <w:r w:rsidR="00D156FB">
        <w:rPr>
          <w:sz w:val="24"/>
          <w:szCs w:val="24"/>
          <w:lang w:val="en-US"/>
        </w:rPr>
        <w:t xml:space="preserve">is </w:t>
      </w:r>
      <w:r w:rsidRPr="00FD6B58">
        <w:rPr>
          <w:sz w:val="24"/>
          <w:szCs w:val="24"/>
          <w:lang w:val="en-US"/>
        </w:rPr>
        <w:t>precisely</w:t>
      </w:r>
      <w:r w:rsidR="00D156FB">
        <w:rPr>
          <w:sz w:val="24"/>
          <w:szCs w:val="24"/>
          <w:lang w:val="en-US"/>
        </w:rPr>
        <w:t xml:space="preserve"> what Brazilian courts have done. </w:t>
      </w:r>
      <w:r w:rsidR="006F51FE">
        <w:rPr>
          <w:sz w:val="24"/>
          <w:szCs w:val="24"/>
          <w:lang w:val="en-US"/>
        </w:rPr>
        <w:t xml:space="preserve">Indeed, </w:t>
      </w:r>
      <w:r w:rsidR="00634892">
        <w:rPr>
          <w:sz w:val="24"/>
          <w:szCs w:val="24"/>
          <w:lang w:val="en-US"/>
        </w:rPr>
        <w:t>most U.S. scholars continue to believe that the prospect of</w:t>
      </w:r>
      <w:r w:rsidR="006F51FE">
        <w:rPr>
          <w:sz w:val="24"/>
          <w:szCs w:val="24"/>
          <w:lang w:val="en-US"/>
        </w:rPr>
        <w:t xml:space="preserve"> exploitation of minority shareholders in close corporations do not warrant the elimination of lock-in.</w:t>
      </w:r>
      <w:bookmarkStart w:id="8" w:name="_Ref455609061"/>
      <w:r w:rsidR="006F51FE">
        <w:rPr>
          <w:rStyle w:val="Refdenotaderodap"/>
          <w:sz w:val="24"/>
          <w:szCs w:val="24"/>
          <w:lang w:val="en-US"/>
        </w:rPr>
        <w:footnoteReference w:id="44"/>
      </w:r>
      <w:bookmarkEnd w:id="8"/>
      <w:r w:rsidRPr="00FD6B58">
        <w:rPr>
          <w:sz w:val="24"/>
          <w:szCs w:val="24"/>
          <w:lang w:val="en-US"/>
        </w:rPr>
        <w:t xml:space="preserve">   </w:t>
      </w:r>
    </w:p>
    <w:p w:rsidR="00A71371" w:rsidRPr="00FD6B58" w:rsidRDefault="00030AA6" w:rsidP="00260800">
      <w:pPr>
        <w:ind w:firstLine="720"/>
        <w:jc w:val="both"/>
        <w:rPr>
          <w:sz w:val="24"/>
          <w:szCs w:val="24"/>
          <w:lang w:val="en-US"/>
        </w:rPr>
      </w:pPr>
      <w:r>
        <w:rPr>
          <w:sz w:val="24"/>
          <w:szCs w:val="24"/>
          <w:lang w:val="en-US"/>
        </w:rPr>
        <w:t>It is curious that</w:t>
      </w:r>
      <w:r w:rsidR="00A71371" w:rsidRPr="00FD6B58">
        <w:rPr>
          <w:sz w:val="24"/>
          <w:szCs w:val="24"/>
          <w:lang w:val="en-US"/>
        </w:rPr>
        <w:t xml:space="preserve">, just as </w:t>
      </w:r>
      <w:r w:rsidR="001C29E7">
        <w:rPr>
          <w:sz w:val="24"/>
          <w:szCs w:val="24"/>
          <w:lang w:val="en-US"/>
        </w:rPr>
        <w:t>lock-in</w:t>
      </w:r>
      <w:r w:rsidR="00A71371" w:rsidRPr="00FD6B58">
        <w:rPr>
          <w:sz w:val="24"/>
          <w:szCs w:val="24"/>
          <w:lang w:val="en-US"/>
        </w:rPr>
        <w:t xml:space="preserve"> was gaining popularity in international scholarship after </w:t>
      </w:r>
      <w:r w:rsidR="00A71371" w:rsidRPr="008266AF">
        <w:rPr>
          <w:sz w:val="24"/>
          <w:szCs w:val="24"/>
          <w:lang w:val="en-US"/>
        </w:rPr>
        <w:t xml:space="preserve">centuries of quiet existence, Brazilian law </w:t>
      </w:r>
      <w:r w:rsidR="004A697B" w:rsidRPr="008266AF">
        <w:rPr>
          <w:sz w:val="24"/>
          <w:szCs w:val="24"/>
          <w:lang w:val="en-US"/>
        </w:rPr>
        <w:t xml:space="preserve">made great strides in </w:t>
      </w:r>
      <w:r w:rsidR="00792F91">
        <w:rPr>
          <w:sz w:val="24"/>
          <w:szCs w:val="24"/>
          <w:lang w:val="en-US"/>
        </w:rPr>
        <w:t>abolishing</w:t>
      </w:r>
      <w:r w:rsidR="004A697B" w:rsidRPr="008266AF">
        <w:rPr>
          <w:sz w:val="24"/>
          <w:szCs w:val="24"/>
          <w:lang w:val="en-US"/>
        </w:rPr>
        <w:t xml:space="preserve"> </w:t>
      </w:r>
      <w:r w:rsidR="00792F91">
        <w:rPr>
          <w:sz w:val="24"/>
          <w:szCs w:val="24"/>
          <w:lang w:val="en-US"/>
        </w:rPr>
        <w:t>it</w:t>
      </w:r>
      <w:r w:rsidR="00A71371" w:rsidRPr="008266AF">
        <w:rPr>
          <w:sz w:val="24"/>
          <w:szCs w:val="24"/>
          <w:lang w:val="en-US"/>
        </w:rPr>
        <w:t xml:space="preserve">. </w:t>
      </w:r>
      <w:r w:rsidR="00E90EF5">
        <w:rPr>
          <w:sz w:val="24"/>
          <w:szCs w:val="24"/>
          <w:lang w:val="en-US"/>
        </w:rPr>
        <w:t>In the last couple of decades</w:t>
      </w:r>
      <w:r w:rsidR="00A71371" w:rsidRPr="008266AF">
        <w:rPr>
          <w:sz w:val="24"/>
          <w:szCs w:val="24"/>
          <w:lang w:val="en-US"/>
        </w:rPr>
        <w:t xml:space="preserve">, </w:t>
      </w:r>
      <w:r w:rsidR="00792F91">
        <w:rPr>
          <w:sz w:val="24"/>
          <w:szCs w:val="24"/>
          <w:lang w:val="en-US"/>
        </w:rPr>
        <w:t>this</w:t>
      </w:r>
      <w:r w:rsidR="00A71371" w:rsidRPr="00FD6B58">
        <w:rPr>
          <w:sz w:val="24"/>
          <w:szCs w:val="24"/>
          <w:lang w:val="en-US"/>
        </w:rPr>
        <w:t xml:space="preserve"> longstanding feature of Brazilian corporate law </w:t>
      </w:r>
      <w:r w:rsidR="00C25256">
        <w:rPr>
          <w:sz w:val="24"/>
          <w:szCs w:val="24"/>
          <w:lang w:val="en-US"/>
        </w:rPr>
        <w:t>gradually disappeared</w:t>
      </w:r>
      <w:r w:rsidR="00A71371" w:rsidRPr="00FD6B58">
        <w:rPr>
          <w:sz w:val="24"/>
          <w:szCs w:val="24"/>
          <w:lang w:val="en-US"/>
        </w:rPr>
        <w:t xml:space="preserve"> from the law of close corporations.</w:t>
      </w:r>
      <w:bookmarkStart w:id="9" w:name="_Ref455578179"/>
      <w:r w:rsidR="00817F5A">
        <w:rPr>
          <w:rStyle w:val="Refdenotaderodap"/>
          <w:sz w:val="24"/>
          <w:szCs w:val="24"/>
          <w:lang w:val="en-US"/>
        </w:rPr>
        <w:footnoteReference w:id="45"/>
      </w:r>
      <w:bookmarkEnd w:id="9"/>
      <w:r w:rsidR="00A71371" w:rsidRPr="00FD6B58">
        <w:rPr>
          <w:sz w:val="24"/>
          <w:szCs w:val="24"/>
          <w:lang w:val="en-US"/>
        </w:rPr>
        <w:t xml:space="preserve"> For the first time, minority shareholders came to enjoy the right to force a partial dissolution at will, effectively forcing the company to buy back their shares.</w:t>
      </w:r>
    </w:p>
    <w:p w:rsidR="00D15365" w:rsidRDefault="00FF3622" w:rsidP="00AE3441">
      <w:pPr>
        <w:ind w:firstLine="720"/>
        <w:jc w:val="both"/>
        <w:rPr>
          <w:sz w:val="24"/>
          <w:szCs w:val="24"/>
          <w:lang w:val="en-US"/>
        </w:rPr>
      </w:pPr>
      <w:r>
        <w:rPr>
          <w:sz w:val="24"/>
          <w:szCs w:val="24"/>
          <w:lang w:val="en-US"/>
        </w:rPr>
        <w:t xml:space="preserve">The recent elimination of lock-in represents a significant departure from Brazil’s corporate law tradition. </w:t>
      </w:r>
      <w:r w:rsidR="009E40E9">
        <w:rPr>
          <w:sz w:val="24"/>
          <w:szCs w:val="24"/>
          <w:lang w:val="en-US"/>
        </w:rPr>
        <w:t>As in</w:t>
      </w:r>
      <w:r w:rsidR="00FD6B58" w:rsidRPr="00FD6B58">
        <w:rPr>
          <w:sz w:val="24"/>
          <w:szCs w:val="24"/>
          <w:lang w:val="en-US"/>
        </w:rPr>
        <w:t xml:space="preserve"> other countries, the emergence of </w:t>
      </w:r>
      <w:r w:rsidR="005D0B7B">
        <w:rPr>
          <w:sz w:val="24"/>
          <w:szCs w:val="24"/>
          <w:lang w:val="en-US"/>
        </w:rPr>
        <w:t>lock-in</w:t>
      </w:r>
      <w:r w:rsidR="00FD6B58" w:rsidRPr="00FD6B58">
        <w:rPr>
          <w:sz w:val="24"/>
          <w:szCs w:val="24"/>
          <w:lang w:val="en-US"/>
        </w:rPr>
        <w:t xml:space="preserve"> under Brazilian law dates back to the</w:t>
      </w:r>
      <w:r w:rsidR="00AE3441">
        <w:rPr>
          <w:sz w:val="24"/>
          <w:szCs w:val="24"/>
          <w:lang w:val="en-US"/>
        </w:rPr>
        <w:t xml:space="preserve"> advent</w:t>
      </w:r>
      <w:r w:rsidR="00FD6B58" w:rsidRPr="00FD6B58">
        <w:rPr>
          <w:sz w:val="24"/>
          <w:szCs w:val="24"/>
          <w:lang w:val="en-US"/>
        </w:rPr>
        <w:t xml:space="preserve"> of the corporate form</w:t>
      </w:r>
      <w:r w:rsidR="005A2D65">
        <w:rPr>
          <w:sz w:val="24"/>
          <w:szCs w:val="24"/>
          <w:lang w:val="en-US"/>
        </w:rPr>
        <w:t xml:space="preserve"> in the country</w:t>
      </w:r>
      <w:r w:rsidR="00FD6B58" w:rsidRPr="00FD6B58">
        <w:rPr>
          <w:sz w:val="24"/>
          <w:szCs w:val="24"/>
          <w:lang w:val="en-US"/>
        </w:rPr>
        <w:t xml:space="preserve">. Up until 1882, Brazil lacked </w:t>
      </w:r>
      <w:r w:rsidR="00682DEF">
        <w:rPr>
          <w:sz w:val="24"/>
          <w:szCs w:val="24"/>
          <w:lang w:val="en-US"/>
        </w:rPr>
        <w:t>a system of general incorporation</w:t>
      </w:r>
      <w:r w:rsidR="00FD6B58" w:rsidRPr="00FD6B58">
        <w:rPr>
          <w:sz w:val="24"/>
          <w:szCs w:val="24"/>
          <w:lang w:val="en-US"/>
        </w:rPr>
        <w:t xml:space="preserve">, and all corporations </w:t>
      </w:r>
      <w:proofErr w:type="gramStart"/>
      <w:r w:rsidR="00FD6B58" w:rsidRPr="00FD6B58">
        <w:rPr>
          <w:sz w:val="24"/>
          <w:szCs w:val="24"/>
          <w:lang w:val="en-US"/>
        </w:rPr>
        <w:t>were created</w:t>
      </w:r>
      <w:proofErr w:type="gramEnd"/>
      <w:r w:rsidR="00FD6B58" w:rsidRPr="00FD6B58">
        <w:rPr>
          <w:sz w:val="24"/>
          <w:szCs w:val="24"/>
          <w:lang w:val="en-US"/>
        </w:rPr>
        <w:t xml:space="preserve"> through special charters granted by the state on an ad hoc basis.  </w:t>
      </w:r>
      <w:r w:rsidR="00443A4F">
        <w:rPr>
          <w:sz w:val="24"/>
          <w:szCs w:val="24"/>
          <w:lang w:val="en-US"/>
        </w:rPr>
        <w:t xml:space="preserve">As in other </w:t>
      </w:r>
      <w:r w:rsidR="00AE3441">
        <w:rPr>
          <w:sz w:val="24"/>
          <w:szCs w:val="24"/>
          <w:lang w:val="en-US"/>
        </w:rPr>
        <w:t>countries</w:t>
      </w:r>
      <w:r w:rsidR="00FD6B58" w:rsidRPr="00FD6B58">
        <w:rPr>
          <w:sz w:val="24"/>
          <w:szCs w:val="24"/>
          <w:lang w:val="en-US"/>
        </w:rPr>
        <w:t xml:space="preserve">, these early </w:t>
      </w:r>
      <w:r w:rsidR="00AE3441">
        <w:rPr>
          <w:sz w:val="24"/>
          <w:szCs w:val="24"/>
          <w:lang w:val="en-US"/>
        </w:rPr>
        <w:t xml:space="preserve">Brazilian </w:t>
      </w:r>
      <w:r w:rsidR="00FD6B58" w:rsidRPr="00FD6B58">
        <w:rPr>
          <w:sz w:val="24"/>
          <w:szCs w:val="24"/>
          <w:lang w:val="en-US"/>
        </w:rPr>
        <w:t>c</w:t>
      </w:r>
      <w:r w:rsidR="00443A4F">
        <w:rPr>
          <w:sz w:val="24"/>
          <w:szCs w:val="24"/>
          <w:lang w:val="en-US"/>
        </w:rPr>
        <w:t>orporations</w:t>
      </w:r>
      <w:r w:rsidR="00FD6B58" w:rsidRPr="00FD6B58">
        <w:rPr>
          <w:sz w:val="24"/>
          <w:szCs w:val="24"/>
          <w:lang w:val="en-US"/>
        </w:rPr>
        <w:t xml:space="preserve"> were </w:t>
      </w:r>
      <w:r w:rsidR="001E31A5">
        <w:rPr>
          <w:sz w:val="24"/>
          <w:szCs w:val="24"/>
          <w:lang w:val="en-US"/>
        </w:rPr>
        <w:t xml:space="preserve">often </w:t>
      </w:r>
      <w:r w:rsidR="00FD6B58" w:rsidRPr="00FD6B58">
        <w:rPr>
          <w:sz w:val="24"/>
          <w:szCs w:val="24"/>
          <w:lang w:val="en-US"/>
        </w:rPr>
        <w:t xml:space="preserve">established for a specific term (usually of </w:t>
      </w:r>
      <w:r w:rsidR="001E31A5">
        <w:rPr>
          <w:sz w:val="24"/>
          <w:szCs w:val="24"/>
          <w:lang w:val="en-US"/>
        </w:rPr>
        <w:t>15 to 50</w:t>
      </w:r>
      <w:r w:rsidR="00FD6B58" w:rsidRPr="00FD6B58">
        <w:rPr>
          <w:sz w:val="24"/>
          <w:szCs w:val="24"/>
          <w:lang w:val="en-US"/>
        </w:rPr>
        <w:t xml:space="preserve"> years), still lacking perpetual experience. However, their charters made clear that, during their statutory terms, shareholders could not withdraw the capital they contributed to the enterprise.</w:t>
      </w:r>
      <w:r w:rsidR="001C29E7">
        <w:rPr>
          <w:rStyle w:val="Refdenotaderodap"/>
          <w:sz w:val="24"/>
          <w:szCs w:val="24"/>
          <w:lang w:val="en-US"/>
        </w:rPr>
        <w:footnoteReference w:id="46"/>
      </w:r>
      <w:r w:rsidR="00FD6B58" w:rsidRPr="00FD6B58">
        <w:rPr>
          <w:sz w:val="24"/>
          <w:szCs w:val="24"/>
          <w:lang w:val="en-US"/>
        </w:rPr>
        <w:t xml:space="preserve">  </w:t>
      </w:r>
      <w:r w:rsidR="00FD6B58" w:rsidRPr="003F66CB">
        <w:rPr>
          <w:sz w:val="24"/>
          <w:szCs w:val="24"/>
          <w:lang w:val="en-US"/>
        </w:rPr>
        <w:t xml:space="preserve">Brazil’s first Commercial Code </w:t>
      </w:r>
      <w:r w:rsidR="00AE3441">
        <w:rPr>
          <w:sz w:val="24"/>
          <w:szCs w:val="24"/>
          <w:lang w:val="en-US"/>
        </w:rPr>
        <w:t xml:space="preserve">of 1850 </w:t>
      </w:r>
      <w:r w:rsidR="007A1CC7">
        <w:rPr>
          <w:sz w:val="24"/>
          <w:szCs w:val="24"/>
          <w:lang w:val="en-US"/>
        </w:rPr>
        <w:t>also expressly provided that</w:t>
      </w:r>
      <w:r w:rsidR="00AE3441">
        <w:rPr>
          <w:sz w:val="24"/>
          <w:szCs w:val="24"/>
          <w:lang w:val="en-US"/>
        </w:rPr>
        <w:t xml:space="preserve"> business corporations </w:t>
      </w:r>
      <w:r w:rsidR="00FD6B58" w:rsidRPr="003F66CB">
        <w:rPr>
          <w:sz w:val="24"/>
          <w:szCs w:val="24"/>
          <w:lang w:val="en-US"/>
        </w:rPr>
        <w:t>could only be dissolved upon the expiration of their term, bankruptcy, or proof that the company could not fulfill its purpose.</w:t>
      </w:r>
      <w:r w:rsidR="00FD6B58" w:rsidRPr="003F66CB">
        <w:rPr>
          <w:rStyle w:val="Refdenotaderodap"/>
          <w:sz w:val="24"/>
          <w:szCs w:val="24"/>
        </w:rPr>
        <w:footnoteReference w:id="47"/>
      </w:r>
      <w:r w:rsidR="00FD6B58" w:rsidRPr="003F66CB">
        <w:rPr>
          <w:sz w:val="24"/>
          <w:szCs w:val="24"/>
          <w:lang w:val="en-US"/>
        </w:rPr>
        <w:t xml:space="preserve"> Subsequent corporate statutes followed </w:t>
      </w:r>
      <w:r w:rsidR="008F1B5B">
        <w:rPr>
          <w:sz w:val="24"/>
          <w:szCs w:val="24"/>
          <w:lang w:val="en-US"/>
        </w:rPr>
        <w:t>this standard</w:t>
      </w:r>
      <w:r w:rsidR="00FD6B58" w:rsidRPr="003F66CB">
        <w:rPr>
          <w:sz w:val="24"/>
          <w:szCs w:val="24"/>
          <w:lang w:val="en-US"/>
        </w:rPr>
        <w:t xml:space="preserve"> path.</w:t>
      </w:r>
      <w:r w:rsidR="006E5F73">
        <w:rPr>
          <w:rStyle w:val="Refdenotaderodap"/>
          <w:sz w:val="24"/>
          <w:szCs w:val="24"/>
          <w:lang w:val="en-US"/>
        </w:rPr>
        <w:footnoteReference w:id="48"/>
      </w:r>
      <w:r w:rsidR="00FD6B58" w:rsidRPr="003F66CB">
        <w:rPr>
          <w:sz w:val="24"/>
          <w:szCs w:val="24"/>
          <w:lang w:val="en-US"/>
        </w:rPr>
        <w:t xml:space="preserve"> </w:t>
      </w:r>
    </w:p>
    <w:p w:rsidR="006E5F73" w:rsidRDefault="006E5F73" w:rsidP="00260800">
      <w:pPr>
        <w:ind w:firstLine="708"/>
        <w:jc w:val="both"/>
        <w:rPr>
          <w:sz w:val="24"/>
          <w:szCs w:val="24"/>
          <w:lang w:val="en-US"/>
        </w:rPr>
      </w:pPr>
      <w:r>
        <w:rPr>
          <w:sz w:val="24"/>
          <w:szCs w:val="24"/>
          <w:lang w:val="en-US"/>
        </w:rPr>
        <w:t xml:space="preserve">Brazil’s current corporations </w:t>
      </w:r>
      <w:r w:rsidR="00DA670E">
        <w:rPr>
          <w:sz w:val="24"/>
          <w:szCs w:val="24"/>
          <w:lang w:val="en-US"/>
        </w:rPr>
        <w:t>law</w:t>
      </w:r>
      <w:r>
        <w:rPr>
          <w:sz w:val="24"/>
          <w:szCs w:val="24"/>
          <w:lang w:val="en-US"/>
        </w:rPr>
        <w:t xml:space="preserve"> of 1976 (</w:t>
      </w:r>
      <w:r w:rsidRPr="00AE3441">
        <w:rPr>
          <w:i/>
          <w:sz w:val="24"/>
          <w:szCs w:val="24"/>
          <w:lang w:val="en-US"/>
        </w:rPr>
        <w:t xml:space="preserve">Lei das </w:t>
      </w:r>
      <w:proofErr w:type="spellStart"/>
      <w:r w:rsidRPr="00AE3441">
        <w:rPr>
          <w:i/>
          <w:sz w:val="24"/>
          <w:szCs w:val="24"/>
          <w:lang w:val="en-US"/>
        </w:rPr>
        <w:t>Sociedades</w:t>
      </w:r>
      <w:proofErr w:type="spellEnd"/>
      <w:r w:rsidRPr="00AE3441">
        <w:rPr>
          <w:i/>
          <w:sz w:val="24"/>
          <w:szCs w:val="24"/>
          <w:lang w:val="en-US"/>
        </w:rPr>
        <w:t xml:space="preserve"> </w:t>
      </w:r>
      <w:proofErr w:type="spellStart"/>
      <w:r w:rsidRPr="00AE3441">
        <w:rPr>
          <w:i/>
          <w:sz w:val="24"/>
          <w:szCs w:val="24"/>
          <w:lang w:val="en-US"/>
        </w:rPr>
        <w:t>por</w:t>
      </w:r>
      <w:proofErr w:type="spellEnd"/>
      <w:r w:rsidRPr="00AE3441">
        <w:rPr>
          <w:i/>
          <w:sz w:val="24"/>
          <w:szCs w:val="24"/>
          <w:lang w:val="en-US"/>
        </w:rPr>
        <w:t xml:space="preserve"> </w:t>
      </w:r>
      <w:proofErr w:type="spellStart"/>
      <w:r w:rsidRPr="00AE3441">
        <w:rPr>
          <w:i/>
          <w:sz w:val="24"/>
          <w:szCs w:val="24"/>
          <w:lang w:val="en-US"/>
        </w:rPr>
        <w:t>Ações</w:t>
      </w:r>
      <w:proofErr w:type="spellEnd"/>
      <w:r>
        <w:rPr>
          <w:sz w:val="24"/>
          <w:szCs w:val="24"/>
          <w:lang w:val="en-US"/>
        </w:rPr>
        <w:t>—LSA) permits the voluntary dissolution by a majority shareholder vote</w:t>
      </w:r>
      <w:r w:rsidR="00012E10">
        <w:rPr>
          <w:sz w:val="24"/>
          <w:szCs w:val="24"/>
          <w:lang w:val="en-US"/>
        </w:rPr>
        <w:t>, as well as</w:t>
      </w:r>
      <w:r>
        <w:rPr>
          <w:sz w:val="24"/>
          <w:szCs w:val="24"/>
          <w:lang w:val="en-US"/>
        </w:rPr>
        <w:t xml:space="preserve"> the involuntary judicial dissolution when there is proof that the corporation cannot fulfill its purpose, in an action brought by shareholders representing at least 5% of the company’s capital.</w:t>
      </w:r>
      <w:r>
        <w:rPr>
          <w:rStyle w:val="Refdenotaderodap"/>
          <w:sz w:val="24"/>
          <w:szCs w:val="24"/>
          <w:lang w:val="en-US"/>
        </w:rPr>
        <w:footnoteReference w:id="49"/>
      </w:r>
      <w:r>
        <w:rPr>
          <w:sz w:val="24"/>
          <w:szCs w:val="24"/>
          <w:lang w:val="en-US"/>
        </w:rPr>
        <w:t xml:space="preserve">  </w:t>
      </w:r>
      <w:r w:rsidR="00BF7A75">
        <w:rPr>
          <w:sz w:val="24"/>
          <w:szCs w:val="24"/>
          <w:lang w:val="en-US"/>
        </w:rPr>
        <w:t xml:space="preserve">In fact, </w:t>
      </w:r>
      <w:r w:rsidR="00012E10">
        <w:rPr>
          <w:sz w:val="24"/>
          <w:szCs w:val="24"/>
          <w:lang w:val="en-US"/>
        </w:rPr>
        <w:t>Brazil</w:t>
      </w:r>
      <w:r w:rsidR="006C7CA7">
        <w:rPr>
          <w:sz w:val="24"/>
          <w:szCs w:val="24"/>
          <w:lang w:val="en-US"/>
        </w:rPr>
        <w:t>’s corporate statute</w:t>
      </w:r>
      <w:r w:rsidR="00BF7A75">
        <w:rPr>
          <w:sz w:val="24"/>
          <w:szCs w:val="24"/>
          <w:lang w:val="en-US"/>
        </w:rPr>
        <w:t xml:space="preserve"> appears to be nominally </w:t>
      </w:r>
      <w:r w:rsidR="00BF7A75">
        <w:rPr>
          <w:i/>
          <w:sz w:val="24"/>
          <w:szCs w:val="24"/>
          <w:lang w:val="en-US"/>
        </w:rPr>
        <w:t xml:space="preserve">more </w:t>
      </w:r>
      <w:r w:rsidR="00BF7A75">
        <w:rPr>
          <w:sz w:val="24"/>
          <w:szCs w:val="24"/>
          <w:lang w:val="en-US"/>
        </w:rPr>
        <w:t xml:space="preserve">protective of </w:t>
      </w:r>
      <w:r w:rsidR="005D0B7B">
        <w:rPr>
          <w:sz w:val="24"/>
          <w:szCs w:val="24"/>
          <w:lang w:val="en-US"/>
        </w:rPr>
        <w:t>lock-in</w:t>
      </w:r>
      <w:r w:rsidR="00BF7A75">
        <w:rPr>
          <w:sz w:val="24"/>
          <w:szCs w:val="24"/>
          <w:lang w:val="en-US"/>
        </w:rPr>
        <w:t xml:space="preserve"> than </w:t>
      </w:r>
      <w:r w:rsidR="006C7CA7">
        <w:rPr>
          <w:sz w:val="24"/>
          <w:szCs w:val="24"/>
          <w:lang w:val="en-US"/>
        </w:rPr>
        <w:t>the law of other jurisdictions. I</w:t>
      </w:r>
      <w:r w:rsidR="00BF7A75">
        <w:rPr>
          <w:sz w:val="24"/>
          <w:szCs w:val="24"/>
          <w:lang w:val="en-US"/>
        </w:rPr>
        <w:t xml:space="preserve">t qualifies </w:t>
      </w:r>
      <w:r w:rsidR="00940F84">
        <w:rPr>
          <w:sz w:val="24"/>
          <w:szCs w:val="24"/>
          <w:lang w:val="en-US"/>
        </w:rPr>
        <w:t xml:space="preserve">the “liquidation of a prosperous </w:t>
      </w:r>
      <w:r w:rsidR="00940F84">
        <w:rPr>
          <w:sz w:val="24"/>
          <w:szCs w:val="24"/>
          <w:lang w:val="en-US"/>
        </w:rPr>
        <w:lastRenderedPageBreak/>
        <w:t>corporation” as “abuse of control power” giving rise to controlling shareholder liability</w:t>
      </w:r>
      <w:r w:rsidR="00BB5A5E">
        <w:rPr>
          <w:sz w:val="24"/>
          <w:szCs w:val="24"/>
          <w:lang w:val="en-US"/>
        </w:rPr>
        <w:t>—</w:t>
      </w:r>
      <w:r w:rsidR="00940F84">
        <w:rPr>
          <w:sz w:val="24"/>
          <w:szCs w:val="24"/>
          <w:lang w:val="en-US"/>
        </w:rPr>
        <w:t>an unusual provision from a comparative standpoint.</w:t>
      </w:r>
      <w:r w:rsidR="00940F84">
        <w:rPr>
          <w:rStyle w:val="Refdenotaderodap"/>
          <w:sz w:val="24"/>
          <w:szCs w:val="24"/>
          <w:lang w:val="en-US"/>
        </w:rPr>
        <w:footnoteReference w:id="50"/>
      </w:r>
      <w:r w:rsidR="00940F84">
        <w:rPr>
          <w:sz w:val="24"/>
          <w:szCs w:val="24"/>
          <w:lang w:val="en-US"/>
        </w:rPr>
        <w:t xml:space="preserve"> </w:t>
      </w:r>
      <w:r w:rsidR="00BF7A75">
        <w:rPr>
          <w:sz w:val="24"/>
          <w:szCs w:val="24"/>
          <w:lang w:val="en-US"/>
        </w:rPr>
        <w:t xml:space="preserve"> </w:t>
      </w:r>
    </w:p>
    <w:p w:rsidR="005F2F7D" w:rsidRPr="00BF7A75" w:rsidRDefault="005F2F7D" w:rsidP="00011B79">
      <w:pPr>
        <w:ind w:firstLine="708"/>
        <w:jc w:val="both"/>
        <w:rPr>
          <w:sz w:val="24"/>
          <w:szCs w:val="24"/>
          <w:lang w:val="en-US"/>
        </w:rPr>
      </w:pPr>
      <w:r>
        <w:rPr>
          <w:sz w:val="24"/>
          <w:szCs w:val="24"/>
          <w:lang w:val="en-US"/>
        </w:rPr>
        <w:t xml:space="preserve">Short of full liquidation of the firm, </w:t>
      </w:r>
      <w:r w:rsidR="00D673FA">
        <w:rPr>
          <w:sz w:val="24"/>
          <w:szCs w:val="24"/>
          <w:lang w:val="en-US"/>
        </w:rPr>
        <w:t xml:space="preserve">withdrawal rights only apply to shareholders dissenting from </w:t>
      </w:r>
      <w:r>
        <w:rPr>
          <w:sz w:val="24"/>
          <w:szCs w:val="24"/>
          <w:lang w:val="en-US"/>
        </w:rPr>
        <w:t xml:space="preserve">fundamental decisions involving the corporation. Under the </w:t>
      </w:r>
      <w:r w:rsidR="00011B79">
        <w:rPr>
          <w:sz w:val="24"/>
          <w:szCs w:val="24"/>
          <w:lang w:val="en-US"/>
        </w:rPr>
        <w:t>LSA</w:t>
      </w:r>
      <w:r>
        <w:rPr>
          <w:sz w:val="24"/>
          <w:szCs w:val="24"/>
          <w:lang w:val="en-US"/>
        </w:rPr>
        <w:t xml:space="preserve">, </w:t>
      </w:r>
      <w:r w:rsidR="004811D6">
        <w:rPr>
          <w:sz w:val="24"/>
          <w:szCs w:val="24"/>
          <w:lang w:val="en-US"/>
        </w:rPr>
        <w:t xml:space="preserve">such </w:t>
      </w:r>
      <w:r w:rsidR="00E30FE7">
        <w:rPr>
          <w:sz w:val="24"/>
          <w:szCs w:val="24"/>
          <w:lang w:val="en-US"/>
        </w:rPr>
        <w:t>shareholder</w:t>
      </w:r>
      <w:r w:rsidR="004811D6">
        <w:rPr>
          <w:sz w:val="24"/>
          <w:szCs w:val="24"/>
          <w:lang w:val="en-US"/>
        </w:rPr>
        <w:t xml:space="preserve"> “appraisal rights” (to use U.S. parlance)</w:t>
      </w:r>
      <w:r w:rsidR="00E30FE7">
        <w:rPr>
          <w:sz w:val="24"/>
          <w:szCs w:val="24"/>
          <w:lang w:val="en-US"/>
        </w:rPr>
        <w:t xml:space="preserve"> </w:t>
      </w:r>
      <w:r w:rsidR="004811D6">
        <w:rPr>
          <w:sz w:val="24"/>
          <w:szCs w:val="24"/>
          <w:lang w:val="en-US"/>
        </w:rPr>
        <w:t>are available in cases of</w:t>
      </w:r>
      <w:r w:rsidR="00012E10">
        <w:rPr>
          <w:sz w:val="24"/>
          <w:szCs w:val="24"/>
          <w:lang w:val="en-US"/>
        </w:rPr>
        <w:t xml:space="preserve"> </w:t>
      </w:r>
      <w:r w:rsidR="00E30FE7">
        <w:rPr>
          <w:sz w:val="24"/>
          <w:szCs w:val="24"/>
          <w:lang w:val="en-US"/>
        </w:rPr>
        <w:t>merger, spin-off, changes to the mandatory dividend,</w:t>
      </w:r>
      <w:r w:rsidR="008E5EB2">
        <w:rPr>
          <w:sz w:val="24"/>
          <w:szCs w:val="24"/>
          <w:lang w:val="en-US"/>
        </w:rPr>
        <w:t xml:space="preserve"> creation of new types of preferred shares or</w:t>
      </w:r>
      <w:r w:rsidR="00E30FE7">
        <w:rPr>
          <w:sz w:val="24"/>
          <w:szCs w:val="24"/>
          <w:lang w:val="en-US"/>
        </w:rPr>
        <w:t xml:space="preserve"> </w:t>
      </w:r>
      <w:r w:rsidR="008338FC">
        <w:rPr>
          <w:sz w:val="24"/>
          <w:szCs w:val="24"/>
          <w:lang w:val="en-US"/>
        </w:rPr>
        <w:t>modification</w:t>
      </w:r>
      <w:r w:rsidR="00E30FE7">
        <w:rPr>
          <w:sz w:val="24"/>
          <w:szCs w:val="24"/>
          <w:lang w:val="en-US"/>
        </w:rPr>
        <w:t xml:space="preserve"> </w:t>
      </w:r>
      <w:r w:rsidR="008338FC">
        <w:rPr>
          <w:sz w:val="24"/>
          <w:szCs w:val="24"/>
          <w:lang w:val="en-US"/>
        </w:rPr>
        <w:t>of</w:t>
      </w:r>
      <w:r w:rsidR="00E30FE7">
        <w:rPr>
          <w:sz w:val="24"/>
          <w:szCs w:val="24"/>
          <w:lang w:val="en-US"/>
        </w:rPr>
        <w:t xml:space="preserve"> </w:t>
      </w:r>
      <w:r w:rsidR="00DA7B83">
        <w:rPr>
          <w:sz w:val="24"/>
          <w:szCs w:val="24"/>
          <w:lang w:val="en-US"/>
        </w:rPr>
        <w:t>their rights</w:t>
      </w:r>
      <w:r w:rsidR="00E30FE7">
        <w:rPr>
          <w:sz w:val="24"/>
          <w:szCs w:val="24"/>
          <w:lang w:val="en-US"/>
        </w:rPr>
        <w:t>, participation in a corporate group,</w:t>
      </w:r>
      <w:r w:rsidR="00DA7B83">
        <w:rPr>
          <w:sz w:val="24"/>
          <w:szCs w:val="24"/>
          <w:lang w:val="en-US"/>
        </w:rPr>
        <w:t xml:space="preserve"> </w:t>
      </w:r>
      <w:r w:rsidR="00E30FE7">
        <w:rPr>
          <w:sz w:val="24"/>
          <w:szCs w:val="24"/>
          <w:lang w:val="en-US"/>
        </w:rPr>
        <w:t>change of corporate purpose</w:t>
      </w:r>
      <w:r w:rsidR="00DA7B83">
        <w:rPr>
          <w:sz w:val="24"/>
          <w:szCs w:val="24"/>
          <w:lang w:val="en-US"/>
        </w:rPr>
        <w:t>, and</w:t>
      </w:r>
      <w:r w:rsidR="00B45890">
        <w:rPr>
          <w:sz w:val="24"/>
          <w:szCs w:val="24"/>
          <w:lang w:val="en-US"/>
        </w:rPr>
        <w:t>, more recently, the</w:t>
      </w:r>
      <w:r w:rsidR="00DA7B83">
        <w:rPr>
          <w:sz w:val="24"/>
          <w:szCs w:val="24"/>
          <w:lang w:val="en-US"/>
        </w:rPr>
        <w:t xml:space="preserve"> adoption of </w:t>
      </w:r>
      <w:r w:rsidR="00B45890">
        <w:rPr>
          <w:sz w:val="24"/>
          <w:szCs w:val="24"/>
          <w:lang w:val="en-US"/>
        </w:rPr>
        <w:t xml:space="preserve">an </w:t>
      </w:r>
      <w:r w:rsidR="00DA7B83">
        <w:rPr>
          <w:sz w:val="24"/>
          <w:szCs w:val="24"/>
          <w:lang w:val="en-US"/>
        </w:rPr>
        <w:t>arbitration clause</w:t>
      </w:r>
      <w:r w:rsidR="00E30FE7">
        <w:rPr>
          <w:sz w:val="24"/>
          <w:szCs w:val="24"/>
          <w:lang w:val="en-US"/>
        </w:rPr>
        <w:t>.</w:t>
      </w:r>
      <w:r w:rsidR="00E30FE7">
        <w:rPr>
          <w:rStyle w:val="Refdenotaderodap"/>
          <w:sz w:val="24"/>
          <w:szCs w:val="24"/>
          <w:lang w:val="en-US"/>
        </w:rPr>
        <w:footnoteReference w:id="51"/>
      </w:r>
      <w:r w:rsidR="00E30FE7">
        <w:rPr>
          <w:sz w:val="24"/>
          <w:szCs w:val="24"/>
          <w:lang w:val="en-US"/>
        </w:rPr>
        <w:t xml:space="preserve"> </w:t>
      </w:r>
      <w:r w:rsidR="00011B79">
        <w:rPr>
          <w:sz w:val="24"/>
          <w:szCs w:val="24"/>
          <w:lang w:val="en-US"/>
        </w:rPr>
        <w:t>However, n</w:t>
      </w:r>
      <w:r w:rsidR="00762885">
        <w:rPr>
          <w:sz w:val="24"/>
          <w:szCs w:val="24"/>
          <w:lang w:val="en-US"/>
        </w:rPr>
        <w:t xml:space="preserve">umerous </w:t>
      </w:r>
      <w:r w:rsidR="00443D18">
        <w:rPr>
          <w:sz w:val="24"/>
          <w:szCs w:val="24"/>
          <w:lang w:val="en-US"/>
        </w:rPr>
        <w:t>exceptions apply to limit the availability of appraisal rights</w:t>
      </w:r>
      <w:r w:rsidR="00C21C6B">
        <w:rPr>
          <w:sz w:val="24"/>
          <w:szCs w:val="24"/>
          <w:lang w:val="en-US"/>
        </w:rPr>
        <w:t xml:space="preserve"> in these situations</w:t>
      </w:r>
      <w:r w:rsidR="00762885">
        <w:rPr>
          <w:sz w:val="24"/>
          <w:szCs w:val="24"/>
          <w:lang w:val="en-US"/>
        </w:rPr>
        <w:t xml:space="preserve">, such as the need to show </w:t>
      </w:r>
      <w:r w:rsidR="00443D18">
        <w:rPr>
          <w:sz w:val="24"/>
          <w:szCs w:val="24"/>
          <w:lang w:val="en-US"/>
        </w:rPr>
        <w:t>lack of liquidity and dispersion in the event of a merger and a change of corporate purpose</w:t>
      </w:r>
      <w:r w:rsidR="00B26946">
        <w:rPr>
          <w:sz w:val="24"/>
          <w:szCs w:val="24"/>
          <w:lang w:val="en-US"/>
        </w:rPr>
        <w:t xml:space="preserve">, </w:t>
      </w:r>
      <w:r w:rsidR="00443D18">
        <w:rPr>
          <w:sz w:val="24"/>
          <w:szCs w:val="24"/>
          <w:lang w:val="en-US"/>
        </w:rPr>
        <w:t>mandatory dividend</w:t>
      </w:r>
      <w:r w:rsidR="00B26946">
        <w:rPr>
          <w:sz w:val="24"/>
          <w:szCs w:val="24"/>
          <w:lang w:val="en-US"/>
        </w:rPr>
        <w:t xml:space="preserve"> or participation in a corporate group</w:t>
      </w:r>
      <w:r w:rsidR="00443D18">
        <w:rPr>
          <w:sz w:val="24"/>
          <w:szCs w:val="24"/>
          <w:lang w:val="en-US"/>
        </w:rPr>
        <w:t xml:space="preserve"> in the case of a spin-off.</w:t>
      </w:r>
      <w:r w:rsidR="00B26946">
        <w:rPr>
          <w:rStyle w:val="Refdenotaderodap"/>
          <w:sz w:val="24"/>
          <w:szCs w:val="24"/>
          <w:lang w:val="en-US"/>
        </w:rPr>
        <w:footnoteReference w:id="52"/>
      </w:r>
      <w:r w:rsidR="00443D18">
        <w:rPr>
          <w:sz w:val="24"/>
          <w:szCs w:val="24"/>
          <w:lang w:val="en-US"/>
        </w:rPr>
        <w:t xml:space="preserve"> </w:t>
      </w:r>
      <w:r w:rsidR="00020F0A">
        <w:rPr>
          <w:sz w:val="24"/>
          <w:szCs w:val="24"/>
          <w:lang w:val="en-US"/>
        </w:rPr>
        <w:t>Curiously</w:t>
      </w:r>
      <w:r w:rsidR="004811D6">
        <w:rPr>
          <w:sz w:val="24"/>
          <w:szCs w:val="24"/>
          <w:lang w:val="en-US"/>
        </w:rPr>
        <w:t xml:space="preserve">, </w:t>
      </w:r>
      <w:r w:rsidR="00E13315">
        <w:rPr>
          <w:sz w:val="24"/>
          <w:szCs w:val="24"/>
          <w:lang w:val="en-US"/>
        </w:rPr>
        <w:t>courts have adopted a restrictive interpretation of shareholder appraisal rights in the public company context</w:t>
      </w:r>
      <w:r w:rsidR="00AF68AE">
        <w:rPr>
          <w:sz w:val="24"/>
          <w:szCs w:val="24"/>
          <w:lang w:val="en-US"/>
        </w:rPr>
        <w:t>, to the point of further restricting the statute’s narrow wording</w:t>
      </w:r>
      <w:r w:rsidR="00E13315">
        <w:rPr>
          <w:sz w:val="24"/>
          <w:szCs w:val="24"/>
          <w:lang w:val="en-US"/>
        </w:rPr>
        <w:t>.</w:t>
      </w:r>
      <w:r w:rsidR="00E13315">
        <w:rPr>
          <w:rStyle w:val="Refdenotaderodap"/>
          <w:sz w:val="24"/>
          <w:szCs w:val="24"/>
          <w:lang w:val="en-US"/>
        </w:rPr>
        <w:footnoteReference w:id="53"/>
      </w:r>
      <w:r w:rsidR="00E13315">
        <w:rPr>
          <w:sz w:val="24"/>
          <w:szCs w:val="24"/>
          <w:lang w:val="en-US"/>
        </w:rPr>
        <w:t xml:space="preserve"> </w:t>
      </w:r>
      <w:r w:rsidR="00000CD0">
        <w:rPr>
          <w:sz w:val="24"/>
          <w:szCs w:val="24"/>
          <w:lang w:val="en-US"/>
        </w:rPr>
        <w:t>This means that</w:t>
      </w:r>
      <w:r w:rsidR="00011B79">
        <w:rPr>
          <w:sz w:val="24"/>
          <w:szCs w:val="24"/>
          <w:lang w:val="en-US"/>
        </w:rPr>
        <w:t xml:space="preserve"> </w:t>
      </w:r>
      <w:r w:rsidR="004A4A7D">
        <w:rPr>
          <w:sz w:val="24"/>
          <w:szCs w:val="24"/>
          <w:lang w:val="en-US"/>
        </w:rPr>
        <w:t xml:space="preserve">the scope of </w:t>
      </w:r>
      <w:r w:rsidR="00DA6D63">
        <w:rPr>
          <w:sz w:val="24"/>
          <w:szCs w:val="24"/>
          <w:lang w:val="en-US"/>
        </w:rPr>
        <w:t xml:space="preserve">appraisal rights under Brazilian law is </w:t>
      </w:r>
      <w:proofErr w:type="gramStart"/>
      <w:r w:rsidR="006D73D6">
        <w:rPr>
          <w:sz w:val="24"/>
          <w:szCs w:val="24"/>
          <w:lang w:val="en-US"/>
        </w:rPr>
        <w:t xml:space="preserve">fairly </w:t>
      </w:r>
      <w:r w:rsidR="007A647F">
        <w:rPr>
          <w:sz w:val="24"/>
          <w:szCs w:val="24"/>
          <w:lang w:val="en-US"/>
        </w:rPr>
        <w:t>limited</w:t>
      </w:r>
      <w:proofErr w:type="gramEnd"/>
      <w:r w:rsidR="00DA6D63">
        <w:rPr>
          <w:sz w:val="24"/>
          <w:szCs w:val="24"/>
          <w:lang w:val="en-US"/>
        </w:rPr>
        <w:t xml:space="preserve">. </w:t>
      </w:r>
    </w:p>
    <w:p w:rsidR="00FD6B58" w:rsidRPr="00F526F0" w:rsidRDefault="00FD6B58" w:rsidP="00260800">
      <w:pPr>
        <w:ind w:firstLine="720"/>
        <w:jc w:val="both"/>
        <w:rPr>
          <w:sz w:val="24"/>
          <w:szCs w:val="24"/>
          <w:lang w:val="en-US"/>
        </w:rPr>
      </w:pPr>
      <w:r w:rsidRPr="003F66CB">
        <w:rPr>
          <w:sz w:val="24"/>
          <w:szCs w:val="24"/>
          <w:lang w:val="en-US"/>
        </w:rPr>
        <w:t>In order to understand the doctrinal routes that courts employed to allow partial dissolutions of close corporations, we must first examine the evolution of the law of limited liability companies (</w:t>
      </w:r>
      <w:proofErr w:type="spellStart"/>
      <w:r w:rsidRPr="003F66CB">
        <w:rPr>
          <w:i/>
          <w:sz w:val="24"/>
          <w:szCs w:val="24"/>
          <w:lang w:val="en-US"/>
        </w:rPr>
        <w:t>sociedades</w:t>
      </w:r>
      <w:proofErr w:type="spellEnd"/>
      <w:r w:rsidRPr="003F66CB">
        <w:rPr>
          <w:i/>
          <w:sz w:val="24"/>
          <w:szCs w:val="24"/>
          <w:lang w:val="en-US"/>
        </w:rPr>
        <w:t xml:space="preserve"> </w:t>
      </w:r>
      <w:proofErr w:type="spellStart"/>
      <w:r w:rsidRPr="003F66CB">
        <w:rPr>
          <w:i/>
          <w:sz w:val="24"/>
          <w:szCs w:val="24"/>
          <w:lang w:val="en-US"/>
        </w:rPr>
        <w:t>limitadas</w:t>
      </w:r>
      <w:proofErr w:type="spellEnd"/>
      <w:r w:rsidRPr="003F66CB">
        <w:rPr>
          <w:i/>
          <w:sz w:val="24"/>
          <w:szCs w:val="24"/>
          <w:lang w:val="en-US"/>
        </w:rPr>
        <w:t xml:space="preserve"> </w:t>
      </w:r>
      <w:r w:rsidRPr="003F66CB">
        <w:rPr>
          <w:sz w:val="24"/>
          <w:szCs w:val="24"/>
          <w:lang w:val="en-US"/>
        </w:rPr>
        <w:t xml:space="preserve">or </w:t>
      </w:r>
      <w:proofErr w:type="spellStart"/>
      <w:r w:rsidRPr="003F66CB">
        <w:rPr>
          <w:sz w:val="24"/>
          <w:szCs w:val="24"/>
          <w:lang w:val="en-US"/>
        </w:rPr>
        <w:t>Ltdas</w:t>
      </w:r>
      <w:proofErr w:type="spellEnd"/>
      <w:r w:rsidRPr="003F66CB">
        <w:rPr>
          <w:sz w:val="24"/>
          <w:szCs w:val="24"/>
          <w:lang w:val="en-US"/>
        </w:rPr>
        <w:t xml:space="preserve">.) in Brazil. The </w:t>
      </w:r>
      <w:proofErr w:type="spellStart"/>
      <w:r w:rsidRPr="003F66CB">
        <w:rPr>
          <w:i/>
          <w:sz w:val="24"/>
          <w:szCs w:val="24"/>
          <w:lang w:val="en-US"/>
        </w:rPr>
        <w:t>limitada</w:t>
      </w:r>
      <w:proofErr w:type="spellEnd"/>
      <w:r w:rsidRPr="003F66CB">
        <w:rPr>
          <w:sz w:val="24"/>
          <w:szCs w:val="24"/>
          <w:lang w:val="en-US"/>
        </w:rPr>
        <w:t xml:space="preserve"> was first introduced in Brazilian law in </w:t>
      </w:r>
      <w:r w:rsidR="008308F0">
        <w:rPr>
          <w:sz w:val="24"/>
          <w:szCs w:val="24"/>
          <w:lang w:val="en-US"/>
        </w:rPr>
        <w:t>1919</w:t>
      </w:r>
      <w:r w:rsidRPr="003F66CB">
        <w:rPr>
          <w:sz w:val="24"/>
          <w:szCs w:val="24"/>
          <w:lang w:val="en-US"/>
        </w:rPr>
        <w:t xml:space="preserve">, in what was allegedly a transplant of Portuguese </w:t>
      </w:r>
      <w:r w:rsidR="00DB3566">
        <w:rPr>
          <w:sz w:val="24"/>
          <w:szCs w:val="24"/>
          <w:lang w:val="en-US"/>
        </w:rPr>
        <w:t xml:space="preserve">law </w:t>
      </w:r>
      <w:r w:rsidRPr="003F66CB">
        <w:rPr>
          <w:sz w:val="24"/>
          <w:szCs w:val="24"/>
          <w:lang w:val="en-US"/>
        </w:rPr>
        <w:t>and an ind</w:t>
      </w:r>
      <w:r w:rsidR="001D4441">
        <w:rPr>
          <w:sz w:val="24"/>
          <w:szCs w:val="24"/>
          <w:lang w:val="en-US"/>
        </w:rPr>
        <w:t>irect transplant of German law</w:t>
      </w:r>
      <w:r w:rsidRPr="003F66CB">
        <w:rPr>
          <w:sz w:val="24"/>
          <w:szCs w:val="24"/>
          <w:lang w:val="en-US"/>
        </w:rPr>
        <w:t xml:space="preserve"> on the </w:t>
      </w:r>
      <w:proofErr w:type="spellStart"/>
      <w:r w:rsidRPr="003F66CB">
        <w:rPr>
          <w:i/>
          <w:sz w:val="24"/>
          <w:szCs w:val="24"/>
          <w:lang w:val="en-US"/>
        </w:rPr>
        <w:t>Gesellshaft</w:t>
      </w:r>
      <w:proofErr w:type="spellEnd"/>
      <w:r w:rsidRPr="003F66CB">
        <w:rPr>
          <w:i/>
          <w:sz w:val="24"/>
          <w:szCs w:val="24"/>
          <w:lang w:val="en-US"/>
        </w:rPr>
        <w:t xml:space="preserve"> </w:t>
      </w:r>
      <w:proofErr w:type="spellStart"/>
      <w:r w:rsidR="0046208D">
        <w:rPr>
          <w:i/>
          <w:sz w:val="24"/>
          <w:szCs w:val="24"/>
          <w:lang w:val="en-US"/>
        </w:rPr>
        <w:t>mit</w:t>
      </w:r>
      <w:proofErr w:type="spellEnd"/>
      <w:r w:rsidR="0046208D">
        <w:rPr>
          <w:i/>
          <w:sz w:val="24"/>
          <w:szCs w:val="24"/>
          <w:lang w:val="en-US"/>
        </w:rPr>
        <w:t xml:space="preserve"> </w:t>
      </w:r>
      <w:proofErr w:type="spellStart"/>
      <w:r w:rsidR="0046208D" w:rsidRPr="0046208D">
        <w:rPr>
          <w:i/>
          <w:sz w:val="24"/>
          <w:szCs w:val="24"/>
          <w:lang w:val="en-US"/>
        </w:rPr>
        <w:t>beschränkte</w:t>
      </w:r>
      <w:r w:rsidR="0046208D">
        <w:rPr>
          <w:i/>
          <w:sz w:val="24"/>
          <w:szCs w:val="24"/>
          <w:lang w:val="en-US"/>
        </w:rPr>
        <w:t>r</w:t>
      </w:r>
      <w:proofErr w:type="spellEnd"/>
      <w:r w:rsidRPr="003F66CB">
        <w:rPr>
          <w:i/>
          <w:sz w:val="24"/>
          <w:szCs w:val="24"/>
          <w:lang w:val="en-US"/>
        </w:rPr>
        <w:t xml:space="preserve"> </w:t>
      </w:r>
      <w:proofErr w:type="spellStart"/>
      <w:r w:rsidRPr="003F66CB">
        <w:rPr>
          <w:i/>
          <w:sz w:val="24"/>
          <w:szCs w:val="24"/>
          <w:lang w:val="en-US"/>
        </w:rPr>
        <w:t>Haftung</w:t>
      </w:r>
      <w:proofErr w:type="spellEnd"/>
      <w:r w:rsidRPr="003F66CB">
        <w:rPr>
          <w:sz w:val="24"/>
          <w:szCs w:val="24"/>
          <w:lang w:val="en-US"/>
        </w:rPr>
        <w:t xml:space="preserve">—GmbH of </w:t>
      </w:r>
      <w:r w:rsidR="00DB3566">
        <w:rPr>
          <w:sz w:val="24"/>
          <w:szCs w:val="24"/>
          <w:lang w:val="en-US"/>
        </w:rPr>
        <w:t>1892</w:t>
      </w:r>
      <w:r w:rsidRPr="003F66CB">
        <w:rPr>
          <w:sz w:val="24"/>
          <w:szCs w:val="24"/>
          <w:lang w:val="en-US"/>
        </w:rPr>
        <w:t>.</w:t>
      </w:r>
      <w:r w:rsidR="00DB3566">
        <w:rPr>
          <w:rStyle w:val="Refdenotaderodap"/>
          <w:sz w:val="24"/>
          <w:szCs w:val="24"/>
          <w:lang w:val="en-US"/>
        </w:rPr>
        <w:footnoteReference w:id="54"/>
      </w:r>
      <w:r w:rsidRPr="003F66CB">
        <w:rPr>
          <w:sz w:val="24"/>
          <w:szCs w:val="24"/>
          <w:lang w:val="en-US"/>
        </w:rPr>
        <w:t xml:space="preserve"> The Brazilian </w:t>
      </w:r>
      <w:proofErr w:type="spellStart"/>
      <w:r w:rsidRPr="003F66CB">
        <w:rPr>
          <w:i/>
          <w:sz w:val="24"/>
          <w:szCs w:val="24"/>
          <w:lang w:val="en-US"/>
        </w:rPr>
        <w:t>limitada</w:t>
      </w:r>
      <w:proofErr w:type="spellEnd"/>
      <w:r w:rsidRPr="003F66CB">
        <w:rPr>
          <w:sz w:val="24"/>
          <w:szCs w:val="24"/>
          <w:lang w:val="en-US"/>
        </w:rPr>
        <w:t xml:space="preserve"> offered </w:t>
      </w:r>
      <w:r w:rsidR="00B45890">
        <w:rPr>
          <w:sz w:val="24"/>
          <w:szCs w:val="24"/>
          <w:lang w:val="en-US"/>
        </w:rPr>
        <w:t xml:space="preserve">both </w:t>
      </w:r>
      <w:r w:rsidRPr="003F66CB">
        <w:rPr>
          <w:sz w:val="24"/>
          <w:szCs w:val="24"/>
          <w:lang w:val="en-US"/>
        </w:rPr>
        <w:t xml:space="preserve">legal personality and limited liability, but imposed fewer formalities than the </w:t>
      </w:r>
      <w:r w:rsidR="00CF5F4D">
        <w:rPr>
          <w:sz w:val="24"/>
          <w:szCs w:val="24"/>
          <w:lang w:val="en-US"/>
        </w:rPr>
        <w:t xml:space="preserve">business </w:t>
      </w:r>
      <w:proofErr w:type="gramStart"/>
      <w:r w:rsidR="00CF5F4D">
        <w:rPr>
          <w:sz w:val="24"/>
          <w:szCs w:val="24"/>
          <w:lang w:val="en-US"/>
        </w:rPr>
        <w:t>corporation</w:t>
      </w:r>
      <w:proofErr w:type="gramEnd"/>
      <w:r w:rsidRPr="003F66CB">
        <w:rPr>
          <w:sz w:val="24"/>
          <w:szCs w:val="24"/>
          <w:lang w:val="en-US"/>
        </w:rPr>
        <w:t xml:space="preserve">. As in other civil law jurisdictions where a similar </w:t>
      </w:r>
      <w:r w:rsidR="00DA670E">
        <w:rPr>
          <w:sz w:val="24"/>
          <w:szCs w:val="24"/>
          <w:lang w:val="en-US"/>
        </w:rPr>
        <w:t>entity</w:t>
      </w:r>
      <w:r w:rsidR="004E6855">
        <w:rPr>
          <w:sz w:val="24"/>
          <w:szCs w:val="24"/>
          <w:lang w:val="en-US"/>
        </w:rPr>
        <w:t xml:space="preserve"> </w:t>
      </w:r>
      <w:r w:rsidR="00DA670E">
        <w:rPr>
          <w:sz w:val="24"/>
          <w:szCs w:val="24"/>
          <w:lang w:val="en-US"/>
        </w:rPr>
        <w:t>has</w:t>
      </w:r>
      <w:r w:rsidR="004E6855">
        <w:rPr>
          <w:sz w:val="24"/>
          <w:szCs w:val="24"/>
          <w:lang w:val="en-US"/>
        </w:rPr>
        <w:t xml:space="preserve"> long been</w:t>
      </w:r>
      <w:r w:rsidRPr="003F66CB">
        <w:rPr>
          <w:sz w:val="24"/>
          <w:szCs w:val="24"/>
          <w:lang w:val="en-US"/>
        </w:rPr>
        <w:t xml:space="preserve"> available, the </w:t>
      </w:r>
      <w:proofErr w:type="spellStart"/>
      <w:r w:rsidRPr="003F66CB">
        <w:rPr>
          <w:i/>
          <w:sz w:val="24"/>
          <w:szCs w:val="24"/>
          <w:lang w:val="en-US"/>
        </w:rPr>
        <w:t>limitada</w:t>
      </w:r>
      <w:proofErr w:type="spellEnd"/>
      <w:r w:rsidRPr="003F66CB">
        <w:rPr>
          <w:i/>
          <w:sz w:val="24"/>
          <w:szCs w:val="24"/>
          <w:lang w:val="en-US"/>
        </w:rPr>
        <w:t xml:space="preserve"> </w:t>
      </w:r>
      <w:r w:rsidRPr="003F66CB">
        <w:rPr>
          <w:sz w:val="24"/>
          <w:szCs w:val="24"/>
          <w:lang w:val="en-US"/>
        </w:rPr>
        <w:t xml:space="preserve">soon became by far the most popular </w:t>
      </w:r>
      <w:r w:rsidR="00DA670E">
        <w:rPr>
          <w:sz w:val="24"/>
          <w:szCs w:val="24"/>
          <w:lang w:val="en-US"/>
        </w:rPr>
        <w:t>form of organization</w:t>
      </w:r>
      <w:r w:rsidRPr="003F66CB">
        <w:rPr>
          <w:sz w:val="24"/>
          <w:szCs w:val="24"/>
          <w:lang w:val="en-US"/>
        </w:rPr>
        <w:t xml:space="preserve"> for commercial enterprise in Brazil.</w:t>
      </w:r>
      <w:r w:rsidRPr="003F66CB">
        <w:rPr>
          <w:rStyle w:val="Refdenotaderodap"/>
          <w:sz w:val="24"/>
          <w:szCs w:val="24"/>
        </w:rPr>
        <w:footnoteReference w:id="55"/>
      </w:r>
    </w:p>
    <w:p w:rsidR="00FD6B58" w:rsidRDefault="00FD6B58" w:rsidP="00260800">
      <w:pPr>
        <w:ind w:firstLine="720"/>
        <w:jc w:val="both"/>
        <w:rPr>
          <w:sz w:val="24"/>
          <w:szCs w:val="24"/>
          <w:lang w:val="en-US"/>
        </w:rPr>
      </w:pPr>
      <w:r w:rsidRPr="003F66CB">
        <w:rPr>
          <w:sz w:val="24"/>
          <w:szCs w:val="24"/>
          <w:lang w:val="en-US"/>
        </w:rPr>
        <w:t xml:space="preserve">Whether the </w:t>
      </w:r>
      <w:proofErr w:type="spellStart"/>
      <w:proofErr w:type="gramStart"/>
      <w:r w:rsidRPr="003F66CB">
        <w:rPr>
          <w:i/>
          <w:sz w:val="24"/>
          <w:szCs w:val="24"/>
          <w:lang w:val="en-US"/>
        </w:rPr>
        <w:t>limitada</w:t>
      </w:r>
      <w:proofErr w:type="spellEnd"/>
      <w:r w:rsidRPr="003F66CB">
        <w:rPr>
          <w:i/>
          <w:sz w:val="24"/>
          <w:szCs w:val="24"/>
          <w:lang w:val="en-US"/>
        </w:rPr>
        <w:t xml:space="preserve"> </w:t>
      </w:r>
      <w:r w:rsidRPr="003F66CB">
        <w:rPr>
          <w:sz w:val="24"/>
          <w:szCs w:val="24"/>
          <w:lang w:val="en-US"/>
        </w:rPr>
        <w:t>enjoyed</w:t>
      </w:r>
      <w:proofErr w:type="gramEnd"/>
      <w:r w:rsidRPr="003F66CB">
        <w:rPr>
          <w:sz w:val="24"/>
          <w:szCs w:val="24"/>
          <w:lang w:val="en-US"/>
        </w:rPr>
        <w:t xml:space="preserve"> </w:t>
      </w:r>
      <w:r w:rsidR="005D0B7B">
        <w:rPr>
          <w:sz w:val="24"/>
          <w:szCs w:val="24"/>
          <w:lang w:val="en-US"/>
        </w:rPr>
        <w:t>lock-in</w:t>
      </w:r>
      <w:r w:rsidRPr="003F66CB">
        <w:rPr>
          <w:sz w:val="24"/>
          <w:szCs w:val="24"/>
          <w:lang w:val="en-US"/>
        </w:rPr>
        <w:t xml:space="preserve"> was less clear. The short statute regulating </w:t>
      </w:r>
      <w:proofErr w:type="spellStart"/>
      <w:r w:rsidRPr="003F66CB">
        <w:rPr>
          <w:i/>
          <w:sz w:val="24"/>
          <w:szCs w:val="24"/>
          <w:lang w:val="en-US"/>
        </w:rPr>
        <w:t>limitadas</w:t>
      </w:r>
      <w:proofErr w:type="spellEnd"/>
      <w:r w:rsidRPr="003F66CB">
        <w:rPr>
          <w:sz w:val="24"/>
          <w:szCs w:val="24"/>
          <w:lang w:val="en-US"/>
        </w:rPr>
        <w:t xml:space="preserve"> did not explicitly address this matter. It </w:t>
      </w:r>
      <w:proofErr w:type="gramStart"/>
      <w:r w:rsidRPr="003F66CB">
        <w:rPr>
          <w:sz w:val="24"/>
          <w:szCs w:val="24"/>
          <w:lang w:val="en-US"/>
        </w:rPr>
        <w:t>did, however, state</w:t>
      </w:r>
      <w:proofErr w:type="gramEnd"/>
      <w:r w:rsidRPr="003F66CB">
        <w:rPr>
          <w:sz w:val="24"/>
          <w:szCs w:val="24"/>
          <w:lang w:val="en-US"/>
        </w:rPr>
        <w:t xml:space="preserve"> in Art. 18 that, whenever the articles association were silent, the </w:t>
      </w:r>
      <w:proofErr w:type="gramStart"/>
      <w:r w:rsidRPr="003F66CB">
        <w:rPr>
          <w:sz w:val="24"/>
          <w:szCs w:val="24"/>
          <w:lang w:val="en-US"/>
        </w:rPr>
        <w:t>corporations</w:t>
      </w:r>
      <w:proofErr w:type="gramEnd"/>
      <w:r w:rsidRPr="003F66CB">
        <w:rPr>
          <w:sz w:val="24"/>
          <w:szCs w:val="24"/>
          <w:lang w:val="en-US"/>
        </w:rPr>
        <w:t xml:space="preserve"> </w:t>
      </w:r>
      <w:r w:rsidR="007C6BC2">
        <w:rPr>
          <w:sz w:val="24"/>
          <w:szCs w:val="24"/>
          <w:lang w:val="en-US"/>
        </w:rPr>
        <w:t>law</w:t>
      </w:r>
      <w:r w:rsidRPr="003F66CB">
        <w:rPr>
          <w:sz w:val="24"/>
          <w:szCs w:val="24"/>
          <w:lang w:val="en-US"/>
        </w:rPr>
        <w:t xml:space="preserve"> would apply to </w:t>
      </w:r>
      <w:proofErr w:type="spellStart"/>
      <w:r w:rsidRPr="003F66CB">
        <w:rPr>
          <w:i/>
          <w:sz w:val="24"/>
          <w:szCs w:val="24"/>
          <w:lang w:val="en-US"/>
        </w:rPr>
        <w:t>limitadas</w:t>
      </w:r>
      <w:proofErr w:type="spellEnd"/>
      <w:r w:rsidRPr="003F66CB">
        <w:rPr>
          <w:i/>
          <w:sz w:val="24"/>
          <w:szCs w:val="24"/>
          <w:lang w:val="en-US"/>
        </w:rPr>
        <w:t xml:space="preserve"> </w:t>
      </w:r>
      <w:r w:rsidRPr="003F66CB">
        <w:rPr>
          <w:sz w:val="24"/>
          <w:szCs w:val="24"/>
          <w:lang w:val="en-US"/>
        </w:rPr>
        <w:t>as appropriate.</w:t>
      </w:r>
      <w:r w:rsidRPr="003F66CB">
        <w:rPr>
          <w:rStyle w:val="Refdenotaderodap"/>
          <w:sz w:val="24"/>
          <w:szCs w:val="24"/>
        </w:rPr>
        <w:footnoteReference w:id="56"/>
      </w:r>
      <w:r w:rsidRPr="003F66CB">
        <w:rPr>
          <w:sz w:val="24"/>
          <w:szCs w:val="24"/>
          <w:lang w:val="en-US"/>
        </w:rPr>
        <w:t xml:space="preserve">  One could have naturally interpreted this rule as requiring the application of the corporate law regime—including </w:t>
      </w:r>
      <w:r w:rsidR="005D0B7B">
        <w:rPr>
          <w:sz w:val="24"/>
          <w:szCs w:val="24"/>
          <w:lang w:val="en-US"/>
        </w:rPr>
        <w:t>lock-in</w:t>
      </w:r>
      <w:r w:rsidRPr="003F66CB">
        <w:rPr>
          <w:sz w:val="24"/>
          <w:szCs w:val="24"/>
          <w:lang w:val="en-US"/>
        </w:rPr>
        <w:t xml:space="preserve">—to </w:t>
      </w:r>
      <w:proofErr w:type="spellStart"/>
      <w:r w:rsidRPr="003F66CB">
        <w:rPr>
          <w:i/>
          <w:sz w:val="24"/>
          <w:szCs w:val="24"/>
          <w:lang w:val="en-US"/>
        </w:rPr>
        <w:t>limitadas</w:t>
      </w:r>
      <w:proofErr w:type="spellEnd"/>
      <w:r w:rsidRPr="003F66CB">
        <w:rPr>
          <w:i/>
          <w:sz w:val="24"/>
          <w:szCs w:val="24"/>
          <w:lang w:val="en-US"/>
        </w:rPr>
        <w:t xml:space="preserve"> </w:t>
      </w:r>
      <w:r w:rsidRPr="003F66CB">
        <w:rPr>
          <w:sz w:val="24"/>
          <w:szCs w:val="24"/>
          <w:lang w:val="en-US"/>
        </w:rPr>
        <w:t xml:space="preserve">insofar as it did not conflict with the special statute. </w:t>
      </w:r>
      <w:r w:rsidR="0049317E">
        <w:rPr>
          <w:sz w:val="24"/>
          <w:szCs w:val="24"/>
          <w:lang w:val="en-US"/>
        </w:rPr>
        <w:t xml:space="preserve">In fact, the foreign-law counterparts to the Brazilian </w:t>
      </w:r>
      <w:proofErr w:type="spellStart"/>
      <w:r w:rsidR="0049317E" w:rsidRPr="00AD76B1">
        <w:rPr>
          <w:i/>
          <w:sz w:val="24"/>
          <w:szCs w:val="24"/>
          <w:lang w:val="en-US"/>
        </w:rPr>
        <w:t>limitada</w:t>
      </w:r>
      <w:proofErr w:type="spellEnd"/>
      <w:r w:rsidR="0049317E">
        <w:rPr>
          <w:sz w:val="24"/>
          <w:szCs w:val="24"/>
          <w:lang w:val="en-US"/>
        </w:rPr>
        <w:t xml:space="preserve">—the Italian </w:t>
      </w:r>
      <w:proofErr w:type="spellStart"/>
      <w:r w:rsidR="0049317E">
        <w:rPr>
          <w:sz w:val="24"/>
          <w:szCs w:val="24"/>
          <w:lang w:val="en-US"/>
        </w:rPr>
        <w:t>S.r.l</w:t>
      </w:r>
      <w:proofErr w:type="spellEnd"/>
      <w:r w:rsidR="0049317E">
        <w:rPr>
          <w:sz w:val="24"/>
          <w:szCs w:val="24"/>
          <w:lang w:val="en-US"/>
        </w:rPr>
        <w:t xml:space="preserve">., the French </w:t>
      </w:r>
      <w:proofErr w:type="spellStart"/>
      <w:r w:rsidR="0049317E">
        <w:rPr>
          <w:sz w:val="24"/>
          <w:szCs w:val="24"/>
          <w:lang w:val="en-US"/>
        </w:rPr>
        <w:t>Sarl</w:t>
      </w:r>
      <w:proofErr w:type="spellEnd"/>
      <w:r w:rsidR="0049317E">
        <w:rPr>
          <w:sz w:val="24"/>
          <w:szCs w:val="24"/>
          <w:lang w:val="en-US"/>
        </w:rPr>
        <w:t xml:space="preserve">, and the German GmbH—have always enjoyed </w:t>
      </w:r>
      <w:r w:rsidR="005D0B7B">
        <w:rPr>
          <w:sz w:val="24"/>
          <w:szCs w:val="24"/>
          <w:lang w:val="en-US"/>
        </w:rPr>
        <w:t>lock-in</w:t>
      </w:r>
      <w:r w:rsidR="00D15365">
        <w:rPr>
          <w:sz w:val="24"/>
          <w:szCs w:val="24"/>
          <w:lang w:val="en-US"/>
        </w:rPr>
        <w:t>.</w:t>
      </w:r>
    </w:p>
    <w:p w:rsidR="00FD6B58" w:rsidRPr="003F66CB" w:rsidRDefault="00BE0260" w:rsidP="00284555">
      <w:pPr>
        <w:ind w:firstLine="720"/>
        <w:jc w:val="both"/>
        <w:rPr>
          <w:sz w:val="24"/>
          <w:szCs w:val="24"/>
          <w:lang w:val="en-US"/>
        </w:rPr>
      </w:pPr>
      <w:r w:rsidRPr="003F66CB">
        <w:rPr>
          <w:sz w:val="24"/>
          <w:szCs w:val="24"/>
          <w:lang w:val="en-US"/>
        </w:rPr>
        <w:t xml:space="preserve">Brazilian scholars and courts, however, predominantly embraced a different interpretation. In their somewhat mysterious view, </w:t>
      </w:r>
      <w:r w:rsidR="003B15D5">
        <w:rPr>
          <w:sz w:val="24"/>
          <w:szCs w:val="24"/>
          <w:lang w:val="en-US"/>
        </w:rPr>
        <w:t xml:space="preserve">Art. </w:t>
      </w:r>
      <w:r w:rsidRPr="003F66CB">
        <w:rPr>
          <w:sz w:val="24"/>
          <w:szCs w:val="24"/>
          <w:lang w:val="en-US"/>
        </w:rPr>
        <w:t xml:space="preserve">18 meant that the </w:t>
      </w:r>
      <w:proofErr w:type="gramStart"/>
      <w:r w:rsidRPr="003F66CB">
        <w:rPr>
          <w:sz w:val="24"/>
          <w:szCs w:val="24"/>
          <w:lang w:val="en-US"/>
        </w:rPr>
        <w:t>corporations</w:t>
      </w:r>
      <w:proofErr w:type="gramEnd"/>
      <w:r w:rsidRPr="003F66CB">
        <w:rPr>
          <w:sz w:val="24"/>
          <w:szCs w:val="24"/>
          <w:lang w:val="en-US"/>
        </w:rPr>
        <w:t xml:space="preserve"> </w:t>
      </w:r>
      <w:r>
        <w:rPr>
          <w:sz w:val="24"/>
          <w:szCs w:val="24"/>
          <w:lang w:val="en-US"/>
        </w:rPr>
        <w:lastRenderedPageBreak/>
        <w:t>law</w:t>
      </w:r>
      <w:r w:rsidRPr="003F66CB">
        <w:rPr>
          <w:sz w:val="24"/>
          <w:szCs w:val="24"/>
          <w:lang w:val="en-US"/>
        </w:rPr>
        <w:t xml:space="preserve"> would only be used to fill gap</w:t>
      </w:r>
      <w:r w:rsidR="00011B79">
        <w:rPr>
          <w:sz w:val="24"/>
          <w:szCs w:val="24"/>
          <w:lang w:val="en-US"/>
        </w:rPr>
        <w:t>s</w:t>
      </w:r>
      <w:r w:rsidRPr="003F66CB">
        <w:rPr>
          <w:sz w:val="24"/>
          <w:szCs w:val="24"/>
          <w:lang w:val="en-US"/>
        </w:rPr>
        <w:t xml:space="preserve"> in the articles of associations of </w:t>
      </w:r>
      <w:proofErr w:type="spellStart"/>
      <w:r w:rsidRPr="00AD76B1">
        <w:rPr>
          <w:i/>
          <w:sz w:val="24"/>
          <w:szCs w:val="24"/>
          <w:lang w:val="en-US"/>
        </w:rPr>
        <w:t>limitadas</w:t>
      </w:r>
      <w:proofErr w:type="spellEnd"/>
      <w:r w:rsidRPr="003F66CB">
        <w:rPr>
          <w:sz w:val="24"/>
          <w:szCs w:val="24"/>
          <w:lang w:val="en-US"/>
        </w:rPr>
        <w:t>, not gaps found in the statute itself.</w:t>
      </w:r>
      <w:r w:rsidRPr="003F66CB">
        <w:rPr>
          <w:rStyle w:val="Refdenotaderodap"/>
          <w:sz w:val="24"/>
          <w:szCs w:val="24"/>
        </w:rPr>
        <w:footnoteReference w:id="57"/>
      </w:r>
      <w:r w:rsidRPr="003F66CB">
        <w:rPr>
          <w:sz w:val="24"/>
          <w:szCs w:val="24"/>
          <w:lang w:val="en-US"/>
        </w:rPr>
        <w:t xml:space="preserve"> This apparent technicality was highly consequential. </w:t>
      </w:r>
      <w:r w:rsidR="007C6BC2">
        <w:rPr>
          <w:sz w:val="24"/>
          <w:szCs w:val="24"/>
          <w:lang w:val="en-US"/>
        </w:rPr>
        <w:t>This interpretation meant</w:t>
      </w:r>
      <w:r w:rsidRPr="003F66CB">
        <w:rPr>
          <w:sz w:val="24"/>
          <w:szCs w:val="24"/>
          <w:lang w:val="en-US"/>
        </w:rPr>
        <w:t xml:space="preserve"> that, whenever the statute was silent, </w:t>
      </w:r>
      <w:r w:rsidR="0082039A">
        <w:rPr>
          <w:sz w:val="24"/>
          <w:szCs w:val="24"/>
          <w:lang w:val="en-US"/>
        </w:rPr>
        <w:t xml:space="preserve">the </w:t>
      </w:r>
      <w:proofErr w:type="spellStart"/>
      <w:r w:rsidR="0082039A" w:rsidRPr="00AD76B1">
        <w:rPr>
          <w:i/>
          <w:sz w:val="24"/>
          <w:szCs w:val="24"/>
          <w:lang w:val="en-US"/>
        </w:rPr>
        <w:t>limitada</w:t>
      </w:r>
      <w:proofErr w:type="spellEnd"/>
      <w:r w:rsidRPr="003F66CB">
        <w:rPr>
          <w:sz w:val="24"/>
          <w:szCs w:val="24"/>
          <w:lang w:val="en-US"/>
        </w:rPr>
        <w:t xml:space="preserve"> </w:t>
      </w:r>
      <w:r w:rsidR="0082039A">
        <w:rPr>
          <w:sz w:val="24"/>
          <w:szCs w:val="24"/>
          <w:lang w:val="en-US"/>
        </w:rPr>
        <w:t>would follow not the corporate regime</w:t>
      </w:r>
      <w:r w:rsidRPr="003F66CB">
        <w:rPr>
          <w:sz w:val="24"/>
          <w:szCs w:val="24"/>
          <w:lang w:val="en-US"/>
        </w:rPr>
        <w:t xml:space="preserve">, but the general provisions of the Commercial Code—envisioned with </w:t>
      </w:r>
      <w:r>
        <w:rPr>
          <w:sz w:val="24"/>
          <w:szCs w:val="24"/>
          <w:lang w:val="en-US"/>
        </w:rPr>
        <w:t>partnerships</w:t>
      </w:r>
      <w:r w:rsidRPr="003F66CB">
        <w:rPr>
          <w:sz w:val="24"/>
          <w:szCs w:val="24"/>
          <w:lang w:val="en-US"/>
        </w:rPr>
        <w:t xml:space="preserve"> in mind. These provisions included the traditional rule of partnership law </w:t>
      </w:r>
      <w:r w:rsidR="0082039A">
        <w:rPr>
          <w:sz w:val="24"/>
          <w:szCs w:val="24"/>
          <w:lang w:val="en-US"/>
        </w:rPr>
        <w:t>permitting a</w:t>
      </w:r>
      <w:r w:rsidRPr="003F66CB">
        <w:rPr>
          <w:sz w:val="24"/>
          <w:szCs w:val="24"/>
          <w:lang w:val="en-US"/>
        </w:rPr>
        <w:t xml:space="preserve">ny partner </w:t>
      </w:r>
      <w:r w:rsidR="0082039A">
        <w:rPr>
          <w:sz w:val="24"/>
          <w:szCs w:val="24"/>
          <w:lang w:val="en-US"/>
        </w:rPr>
        <w:t>to</w:t>
      </w:r>
      <w:r w:rsidRPr="003F66CB">
        <w:rPr>
          <w:sz w:val="24"/>
          <w:szCs w:val="24"/>
          <w:lang w:val="en-US"/>
        </w:rPr>
        <w:t xml:space="preserve"> </w:t>
      </w:r>
      <w:r w:rsidR="007C66B1">
        <w:rPr>
          <w:sz w:val="24"/>
          <w:szCs w:val="24"/>
          <w:lang w:val="en-US"/>
        </w:rPr>
        <w:t>withdraw</w:t>
      </w:r>
      <w:r w:rsidRPr="003F66CB">
        <w:rPr>
          <w:sz w:val="24"/>
          <w:szCs w:val="24"/>
          <w:lang w:val="en-US"/>
        </w:rPr>
        <w:t xml:space="preserve"> at will</w:t>
      </w:r>
      <w:r w:rsidR="007C66B1">
        <w:rPr>
          <w:sz w:val="24"/>
          <w:szCs w:val="24"/>
          <w:lang w:val="en-US"/>
        </w:rPr>
        <w:t>, prompting the dissolution of the firm</w:t>
      </w:r>
      <w:r w:rsidRPr="003F66CB">
        <w:rPr>
          <w:sz w:val="24"/>
          <w:szCs w:val="24"/>
          <w:lang w:val="en-US"/>
        </w:rPr>
        <w:t>.</w:t>
      </w:r>
      <w:r w:rsidRPr="003F66CB">
        <w:rPr>
          <w:rStyle w:val="Refdenotaderodap"/>
          <w:sz w:val="24"/>
          <w:szCs w:val="24"/>
        </w:rPr>
        <w:footnoteReference w:id="58"/>
      </w:r>
      <w:r w:rsidR="00FD6B58" w:rsidRPr="003F66CB">
        <w:rPr>
          <w:sz w:val="24"/>
          <w:szCs w:val="24"/>
          <w:lang w:val="en-US"/>
        </w:rPr>
        <w:t xml:space="preserve"> </w:t>
      </w:r>
    </w:p>
    <w:p w:rsidR="00FD6B58" w:rsidRPr="00655D7B" w:rsidRDefault="00FD6B58" w:rsidP="00260800">
      <w:pPr>
        <w:jc w:val="both"/>
        <w:rPr>
          <w:sz w:val="24"/>
          <w:szCs w:val="24"/>
          <w:lang w:val="en-US"/>
        </w:rPr>
      </w:pPr>
      <w:r w:rsidRPr="003F66CB">
        <w:rPr>
          <w:sz w:val="24"/>
          <w:szCs w:val="24"/>
          <w:lang w:val="en-US"/>
        </w:rPr>
        <w:tab/>
      </w:r>
      <w:r w:rsidR="007C66B1">
        <w:rPr>
          <w:sz w:val="24"/>
          <w:szCs w:val="24"/>
          <w:lang w:val="en-US"/>
        </w:rPr>
        <w:t>Evidently</w:t>
      </w:r>
      <w:r w:rsidRPr="003F66CB">
        <w:rPr>
          <w:sz w:val="24"/>
          <w:szCs w:val="24"/>
          <w:lang w:val="en-US"/>
        </w:rPr>
        <w:t xml:space="preserve">, </w:t>
      </w:r>
      <w:r w:rsidR="007C66B1">
        <w:rPr>
          <w:sz w:val="24"/>
          <w:szCs w:val="24"/>
          <w:lang w:val="en-US"/>
        </w:rPr>
        <w:t xml:space="preserve">the extension of the partnership regime to </w:t>
      </w:r>
      <w:proofErr w:type="spellStart"/>
      <w:r w:rsidR="007C66B1" w:rsidRPr="00AD76B1">
        <w:rPr>
          <w:i/>
          <w:sz w:val="24"/>
          <w:szCs w:val="24"/>
          <w:lang w:val="en-US"/>
        </w:rPr>
        <w:t>limitadas</w:t>
      </w:r>
      <w:proofErr w:type="spellEnd"/>
      <w:r w:rsidR="007C66B1">
        <w:rPr>
          <w:sz w:val="24"/>
          <w:szCs w:val="24"/>
          <w:lang w:val="en-US"/>
        </w:rPr>
        <w:t xml:space="preserve"> triggered the problem of</w:t>
      </w:r>
      <w:r w:rsidRPr="00655D7B">
        <w:rPr>
          <w:sz w:val="24"/>
          <w:szCs w:val="24"/>
          <w:lang w:val="en-US"/>
        </w:rPr>
        <w:t xml:space="preserve"> </w:t>
      </w:r>
      <w:r w:rsidR="007C66B1">
        <w:rPr>
          <w:sz w:val="24"/>
          <w:szCs w:val="24"/>
          <w:lang w:val="en-US"/>
        </w:rPr>
        <w:t xml:space="preserve">untimely dissolution, </w:t>
      </w:r>
      <w:r w:rsidRPr="00655D7B">
        <w:rPr>
          <w:sz w:val="24"/>
          <w:szCs w:val="24"/>
          <w:lang w:val="en-US"/>
        </w:rPr>
        <w:t xml:space="preserve">since any member’s decision to withdraw, or involuntary events such as death or bankruptcy of the member, would put an end to the firm’s existence. Despite the clear language of the </w:t>
      </w:r>
      <w:r w:rsidR="00F950B9">
        <w:rPr>
          <w:sz w:val="24"/>
          <w:szCs w:val="24"/>
          <w:lang w:val="en-US"/>
        </w:rPr>
        <w:t>C</w:t>
      </w:r>
      <w:r w:rsidRPr="00655D7B">
        <w:rPr>
          <w:sz w:val="24"/>
          <w:szCs w:val="24"/>
          <w:lang w:val="en-US"/>
        </w:rPr>
        <w:t xml:space="preserve">ommercial </w:t>
      </w:r>
      <w:r w:rsidR="00F950B9">
        <w:rPr>
          <w:sz w:val="24"/>
          <w:szCs w:val="24"/>
          <w:lang w:val="en-US"/>
        </w:rPr>
        <w:t>C</w:t>
      </w:r>
      <w:r w:rsidRPr="00655D7B">
        <w:rPr>
          <w:sz w:val="24"/>
          <w:szCs w:val="24"/>
          <w:lang w:val="en-US"/>
        </w:rPr>
        <w:t xml:space="preserve">ode calling for the company’s dissolution, Brazilian courts mitigated the concept. Starting in </w:t>
      </w:r>
      <w:r w:rsidR="005E4125">
        <w:rPr>
          <w:sz w:val="24"/>
          <w:szCs w:val="24"/>
          <w:lang w:val="en-US"/>
        </w:rPr>
        <w:t>the 1940s</w:t>
      </w:r>
      <w:r w:rsidRPr="00655D7B">
        <w:rPr>
          <w:sz w:val="24"/>
          <w:szCs w:val="24"/>
          <w:lang w:val="en-US"/>
        </w:rPr>
        <w:t>, courts began to grant only part</w:t>
      </w:r>
      <w:r w:rsidR="00C76CD6">
        <w:rPr>
          <w:sz w:val="24"/>
          <w:szCs w:val="24"/>
          <w:lang w:val="en-US"/>
        </w:rPr>
        <w:t>ial dissolutions in these cases. The</w:t>
      </w:r>
      <w:r w:rsidR="007C66B1">
        <w:rPr>
          <w:sz w:val="24"/>
          <w:szCs w:val="24"/>
          <w:lang w:val="en-US"/>
        </w:rPr>
        <w:t>y reasoned</w:t>
      </w:r>
      <w:r w:rsidR="00656212">
        <w:rPr>
          <w:sz w:val="24"/>
          <w:szCs w:val="24"/>
          <w:lang w:val="en-US"/>
        </w:rPr>
        <w:t xml:space="preserve"> that the dissolution provisions under </w:t>
      </w:r>
      <w:r w:rsidR="00C76CD6">
        <w:rPr>
          <w:sz w:val="24"/>
          <w:szCs w:val="24"/>
          <w:lang w:val="en-US"/>
        </w:rPr>
        <w:t xml:space="preserve">the Commercial </w:t>
      </w:r>
      <w:r w:rsidR="007C66B1">
        <w:rPr>
          <w:sz w:val="24"/>
          <w:szCs w:val="24"/>
          <w:lang w:val="en-US"/>
        </w:rPr>
        <w:t xml:space="preserve">Code had the nature of default rules. </w:t>
      </w:r>
      <w:r w:rsidR="00900C8F">
        <w:rPr>
          <w:sz w:val="24"/>
          <w:szCs w:val="24"/>
          <w:lang w:val="en-US"/>
        </w:rPr>
        <w:t xml:space="preserve">Whenever the articles of association provided for the </w:t>
      </w:r>
      <w:r w:rsidR="00C76CD6">
        <w:rPr>
          <w:sz w:val="24"/>
          <w:szCs w:val="24"/>
          <w:lang w:val="en-US"/>
        </w:rPr>
        <w:t>continuity of the company in case of death or withdrawal</w:t>
      </w:r>
      <w:r w:rsidR="00900C8F">
        <w:rPr>
          <w:sz w:val="24"/>
          <w:szCs w:val="24"/>
          <w:lang w:val="en-US"/>
        </w:rPr>
        <w:t xml:space="preserve"> (as they usually did), these clauses operated </w:t>
      </w:r>
      <w:r w:rsidR="00C76CD6">
        <w:rPr>
          <w:sz w:val="24"/>
          <w:szCs w:val="24"/>
          <w:lang w:val="en-US"/>
        </w:rPr>
        <w:t>as a waiver of the right to claim full dissolution</w:t>
      </w:r>
      <w:r w:rsidR="00900C8F">
        <w:rPr>
          <w:sz w:val="24"/>
          <w:szCs w:val="24"/>
          <w:lang w:val="en-US"/>
        </w:rPr>
        <w:t>, but instead led to a partial dissolution</w:t>
      </w:r>
      <w:r w:rsidR="00C76CD6">
        <w:rPr>
          <w:sz w:val="24"/>
          <w:szCs w:val="24"/>
          <w:lang w:val="en-US"/>
        </w:rPr>
        <w:t>.</w:t>
      </w:r>
      <w:r w:rsidR="00C76CD6">
        <w:rPr>
          <w:rStyle w:val="Refdenotaderodap"/>
          <w:sz w:val="24"/>
          <w:szCs w:val="24"/>
          <w:lang w:val="en-US"/>
        </w:rPr>
        <w:footnoteReference w:id="59"/>
      </w:r>
      <w:r w:rsidR="00C76CD6">
        <w:rPr>
          <w:sz w:val="24"/>
          <w:szCs w:val="24"/>
          <w:lang w:val="en-US"/>
        </w:rPr>
        <w:t xml:space="preserve"> </w:t>
      </w:r>
      <w:r w:rsidR="00900C8F">
        <w:rPr>
          <w:sz w:val="24"/>
          <w:szCs w:val="24"/>
          <w:lang w:val="en-US"/>
        </w:rPr>
        <w:t>Decades later</w:t>
      </w:r>
      <w:r w:rsidR="00C76CD6">
        <w:rPr>
          <w:sz w:val="24"/>
          <w:szCs w:val="24"/>
          <w:lang w:val="en-US"/>
        </w:rPr>
        <w:t>, courts began grounding their decisions in favor of partial dissolutio</w:t>
      </w:r>
      <w:r w:rsidR="00D25544">
        <w:rPr>
          <w:sz w:val="24"/>
          <w:szCs w:val="24"/>
          <w:lang w:val="en-US"/>
        </w:rPr>
        <w:t>n</w:t>
      </w:r>
      <w:r w:rsidR="00C76CD6">
        <w:rPr>
          <w:sz w:val="24"/>
          <w:szCs w:val="24"/>
          <w:lang w:val="en-US"/>
        </w:rPr>
        <w:t>s</w:t>
      </w:r>
      <w:r w:rsidR="007B7025">
        <w:rPr>
          <w:sz w:val="24"/>
          <w:szCs w:val="24"/>
          <w:lang w:val="en-US"/>
        </w:rPr>
        <w:t xml:space="preserve"> </w:t>
      </w:r>
      <w:r w:rsidR="00C76CD6">
        <w:rPr>
          <w:sz w:val="24"/>
          <w:szCs w:val="24"/>
          <w:lang w:val="en-US"/>
        </w:rPr>
        <w:t>o</w:t>
      </w:r>
      <w:r w:rsidRPr="00655D7B">
        <w:rPr>
          <w:sz w:val="24"/>
          <w:szCs w:val="24"/>
          <w:lang w:val="en-US"/>
        </w:rPr>
        <w:t>n the</w:t>
      </w:r>
      <w:r w:rsidR="007563EC">
        <w:rPr>
          <w:sz w:val="24"/>
          <w:szCs w:val="24"/>
          <w:lang w:val="en-US"/>
        </w:rPr>
        <w:t xml:space="preserve"> goal of preserving the enterprise and its social function</w:t>
      </w:r>
      <w:r w:rsidR="00900C8F">
        <w:rPr>
          <w:sz w:val="24"/>
          <w:szCs w:val="24"/>
          <w:lang w:val="en-US"/>
        </w:rPr>
        <w:t>, irrespective of contract terms</w:t>
      </w:r>
      <w:r w:rsidR="007563EC">
        <w:rPr>
          <w:sz w:val="24"/>
          <w:szCs w:val="24"/>
          <w:lang w:val="en-US"/>
        </w:rPr>
        <w:t>.</w:t>
      </w:r>
      <w:r w:rsidR="001C053F">
        <w:rPr>
          <w:rStyle w:val="Refdenotaderodap"/>
          <w:sz w:val="24"/>
          <w:szCs w:val="24"/>
          <w:lang w:val="en-US"/>
        </w:rPr>
        <w:footnoteReference w:id="60"/>
      </w:r>
      <w:r w:rsidRPr="00655D7B">
        <w:rPr>
          <w:sz w:val="24"/>
          <w:szCs w:val="24"/>
          <w:lang w:val="en-US"/>
        </w:rPr>
        <w:t xml:space="preserve">  </w:t>
      </w:r>
    </w:p>
    <w:p w:rsidR="00FD6B58" w:rsidRDefault="007827C4" w:rsidP="004537DC">
      <w:pPr>
        <w:ind w:firstLine="720"/>
        <w:jc w:val="both"/>
        <w:rPr>
          <w:sz w:val="24"/>
          <w:szCs w:val="24"/>
          <w:lang w:val="en-US"/>
        </w:rPr>
      </w:pPr>
      <w:r>
        <w:rPr>
          <w:sz w:val="24"/>
          <w:szCs w:val="24"/>
          <w:lang w:val="en-US"/>
        </w:rPr>
        <w:t>Furthermore, existing case law</w:t>
      </w:r>
      <w:r w:rsidR="00A73E22">
        <w:rPr>
          <w:sz w:val="24"/>
          <w:szCs w:val="24"/>
          <w:lang w:val="en-US"/>
        </w:rPr>
        <w:t xml:space="preserve"> on </w:t>
      </w:r>
      <w:proofErr w:type="spellStart"/>
      <w:r w:rsidR="00A73E22">
        <w:rPr>
          <w:i/>
          <w:sz w:val="24"/>
          <w:szCs w:val="24"/>
          <w:lang w:val="en-US"/>
        </w:rPr>
        <w:t>limitadas</w:t>
      </w:r>
      <w:proofErr w:type="spellEnd"/>
      <w:r w:rsidR="00A73E22">
        <w:rPr>
          <w:i/>
          <w:sz w:val="24"/>
          <w:szCs w:val="24"/>
          <w:lang w:val="en-US"/>
        </w:rPr>
        <w:t xml:space="preserve"> </w:t>
      </w:r>
      <w:r w:rsidR="00900C8F">
        <w:rPr>
          <w:sz w:val="24"/>
          <w:szCs w:val="24"/>
          <w:lang w:val="en-US"/>
        </w:rPr>
        <w:t xml:space="preserve">has </w:t>
      </w:r>
      <w:r w:rsidR="00A73E22">
        <w:rPr>
          <w:sz w:val="24"/>
          <w:szCs w:val="24"/>
          <w:lang w:val="en-US"/>
        </w:rPr>
        <w:t xml:space="preserve">not only recognized the ability of members to withdraw at any time as a default rule, but also thwarted the parties’ ability to obtain lock-in through private contracting. Courts have repeatedly </w:t>
      </w:r>
      <w:r w:rsidR="004537DC">
        <w:rPr>
          <w:sz w:val="24"/>
          <w:szCs w:val="24"/>
          <w:lang w:val="en-US"/>
        </w:rPr>
        <w:t xml:space="preserve">resorted to notions of good faith and unjust enrichment to invalidate provisions </w:t>
      </w:r>
      <w:r w:rsidR="00A73E22">
        <w:rPr>
          <w:sz w:val="24"/>
          <w:szCs w:val="24"/>
          <w:lang w:val="en-US"/>
        </w:rPr>
        <w:t xml:space="preserve">in the articles of association that fixed </w:t>
      </w:r>
      <w:r w:rsidR="00EE4382">
        <w:rPr>
          <w:sz w:val="24"/>
          <w:szCs w:val="24"/>
          <w:lang w:val="en-US"/>
        </w:rPr>
        <w:t xml:space="preserve">unfavorable or </w:t>
      </w:r>
      <w:proofErr w:type="spellStart"/>
      <w:r w:rsidR="00EE4382">
        <w:rPr>
          <w:sz w:val="24"/>
          <w:szCs w:val="24"/>
          <w:lang w:val="en-US"/>
        </w:rPr>
        <w:t>undercompensatory</w:t>
      </w:r>
      <w:proofErr w:type="spellEnd"/>
      <w:r w:rsidR="00EE4382">
        <w:rPr>
          <w:sz w:val="24"/>
          <w:szCs w:val="24"/>
          <w:lang w:val="en-US"/>
        </w:rPr>
        <w:t xml:space="preserve"> criteria for the appraisal of membership interests</w:t>
      </w:r>
      <w:r w:rsidR="004537DC">
        <w:rPr>
          <w:sz w:val="24"/>
          <w:szCs w:val="24"/>
          <w:lang w:val="en-US"/>
        </w:rPr>
        <w:t>, instead requiring the assessment of the “true</w:t>
      </w:r>
      <w:r w:rsidR="007563EC">
        <w:rPr>
          <w:sz w:val="24"/>
          <w:szCs w:val="24"/>
          <w:lang w:val="en-US"/>
        </w:rPr>
        <w:t xml:space="preserve"> and fair</w:t>
      </w:r>
      <w:r w:rsidR="004537DC">
        <w:rPr>
          <w:sz w:val="24"/>
          <w:szCs w:val="24"/>
          <w:lang w:val="en-US"/>
        </w:rPr>
        <w:t xml:space="preserve"> value” of the company.</w:t>
      </w:r>
      <w:r w:rsidR="004537DC">
        <w:rPr>
          <w:rStyle w:val="Refdenotaderodap"/>
          <w:sz w:val="24"/>
          <w:szCs w:val="24"/>
          <w:lang w:val="en-US"/>
        </w:rPr>
        <w:footnoteReference w:id="61"/>
      </w:r>
      <w:r w:rsidR="004537DC">
        <w:rPr>
          <w:sz w:val="24"/>
          <w:szCs w:val="24"/>
          <w:lang w:val="en-US"/>
        </w:rPr>
        <w:t xml:space="preserve"> </w:t>
      </w:r>
      <w:r>
        <w:rPr>
          <w:sz w:val="24"/>
          <w:szCs w:val="24"/>
          <w:lang w:val="en-US"/>
        </w:rPr>
        <w:t xml:space="preserve">However, it remained the case that </w:t>
      </w:r>
      <w:r w:rsidR="00380A2A" w:rsidRPr="00655D7B">
        <w:rPr>
          <w:sz w:val="24"/>
          <w:szCs w:val="24"/>
          <w:lang w:val="en-US"/>
        </w:rPr>
        <w:t xml:space="preserve">entrepreneurs seeking lock-in </w:t>
      </w:r>
      <w:r>
        <w:rPr>
          <w:sz w:val="24"/>
          <w:szCs w:val="24"/>
          <w:lang w:val="en-US"/>
        </w:rPr>
        <w:t xml:space="preserve">of capital </w:t>
      </w:r>
      <w:r w:rsidR="00380A2A" w:rsidRPr="00655D7B">
        <w:rPr>
          <w:sz w:val="24"/>
          <w:szCs w:val="24"/>
          <w:lang w:val="en-US"/>
        </w:rPr>
        <w:t xml:space="preserve">could </w:t>
      </w:r>
      <w:r w:rsidR="006D32C9">
        <w:rPr>
          <w:sz w:val="24"/>
          <w:szCs w:val="24"/>
          <w:lang w:val="en-US"/>
        </w:rPr>
        <w:t xml:space="preserve">still </w:t>
      </w:r>
      <w:r w:rsidR="00380A2A" w:rsidRPr="00655D7B">
        <w:rPr>
          <w:sz w:val="24"/>
          <w:szCs w:val="24"/>
          <w:lang w:val="en-US"/>
        </w:rPr>
        <w:t>obtain</w:t>
      </w:r>
      <w:r w:rsidR="006D32C9">
        <w:rPr>
          <w:sz w:val="24"/>
          <w:szCs w:val="24"/>
          <w:lang w:val="en-US"/>
        </w:rPr>
        <w:t xml:space="preserve"> it</w:t>
      </w:r>
      <w:r w:rsidR="00380A2A" w:rsidRPr="00655D7B">
        <w:rPr>
          <w:sz w:val="24"/>
          <w:szCs w:val="24"/>
          <w:lang w:val="en-US"/>
        </w:rPr>
        <w:t xml:space="preserve"> by incorporating the firm as an S.A. </w:t>
      </w:r>
    </w:p>
    <w:p w:rsidR="00584DF2" w:rsidRPr="008219D4" w:rsidRDefault="00F22C7C" w:rsidP="00260800">
      <w:pPr>
        <w:ind w:firstLine="720"/>
        <w:jc w:val="both"/>
        <w:rPr>
          <w:sz w:val="24"/>
          <w:szCs w:val="24"/>
          <w:lang w:val="en-US"/>
        </w:rPr>
      </w:pPr>
      <w:r w:rsidRPr="00655D7B">
        <w:rPr>
          <w:sz w:val="24"/>
          <w:szCs w:val="24"/>
          <w:lang w:val="en-US"/>
        </w:rPr>
        <w:lastRenderedPageBreak/>
        <w:t xml:space="preserve">It is precisely this ability that </w:t>
      </w:r>
      <w:proofErr w:type="gramStart"/>
      <w:r w:rsidRPr="00655D7B">
        <w:rPr>
          <w:sz w:val="24"/>
          <w:szCs w:val="24"/>
          <w:lang w:val="en-US"/>
        </w:rPr>
        <w:t>has been compromised</w:t>
      </w:r>
      <w:proofErr w:type="gramEnd"/>
      <w:r w:rsidRPr="00655D7B">
        <w:rPr>
          <w:sz w:val="24"/>
          <w:szCs w:val="24"/>
          <w:lang w:val="en-US"/>
        </w:rPr>
        <w:t xml:space="preserve"> in the last decade</w:t>
      </w:r>
      <w:r w:rsidR="00BD5957" w:rsidRPr="00655D7B">
        <w:rPr>
          <w:sz w:val="24"/>
          <w:szCs w:val="24"/>
          <w:lang w:val="en-US"/>
        </w:rPr>
        <w:t>, at least wi</w:t>
      </w:r>
      <w:r w:rsidR="0090597E" w:rsidRPr="00655D7B">
        <w:rPr>
          <w:sz w:val="24"/>
          <w:szCs w:val="24"/>
          <w:lang w:val="en-US"/>
        </w:rPr>
        <w:t>th respect to close corporations</w:t>
      </w:r>
      <w:r w:rsidRPr="00655D7B">
        <w:rPr>
          <w:sz w:val="24"/>
          <w:szCs w:val="24"/>
          <w:lang w:val="en-US"/>
        </w:rPr>
        <w:t>.</w:t>
      </w:r>
      <w:r w:rsidR="007827C4">
        <w:rPr>
          <w:rStyle w:val="Refdenotaderodap"/>
          <w:sz w:val="24"/>
          <w:szCs w:val="24"/>
          <w:lang w:val="en-US"/>
        </w:rPr>
        <w:footnoteReference w:id="62"/>
      </w:r>
      <w:r w:rsidRPr="00655D7B">
        <w:rPr>
          <w:sz w:val="24"/>
          <w:szCs w:val="24"/>
          <w:lang w:val="en-US"/>
        </w:rPr>
        <w:t xml:space="preserve"> </w:t>
      </w:r>
      <w:r w:rsidR="00170913" w:rsidRPr="00655D7B">
        <w:rPr>
          <w:sz w:val="24"/>
          <w:szCs w:val="24"/>
          <w:lang w:val="en-US"/>
        </w:rPr>
        <w:t xml:space="preserve">While the </w:t>
      </w:r>
      <w:r w:rsidR="006E30BC">
        <w:rPr>
          <w:sz w:val="24"/>
          <w:szCs w:val="24"/>
          <w:lang w:val="en-US"/>
        </w:rPr>
        <w:t>first</w:t>
      </w:r>
      <w:r w:rsidR="00170913" w:rsidRPr="00655D7B">
        <w:rPr>
          <w:sz w:val="24"/>
          <w:szCs w:val="24"/>
          <w:lang w:val="en-US"/>
        </w:rPr>
        <w:t xml:space="preserve"> precedents on this subject date back to </w:t>
      </w:r>
      <w:r w:rsidR="006E30BC">
        <w:rPr>
          <w:sz w:val="24"/>
          <w:szCs w:val="24"/>
          <w:lang w:val="en-US"/>
        </w:rPr>
        <w:t>the 1980s and 1990s</w:t>
      </w:r>
      <w:r w:rsidR="00170913" w:rsidRPr="00655D7B">
        <w:rPr>
          <w:sz w:val="24"/>
          <w:szCs w:val="24"/>
          <w:lang w:val="en-US"/>
        </w:rPr>
        <w:t>,</w:t>
      </w:r>
      <w:r w:rsidR="00472BD9">
        <w:rPr>
          <w:rStyle w:val="Refdenotaderodap"/>
          <w:sz w:val="24"/>
          <w:szCs w:val="24"/>
          <w:lang w:val="en-US"/>
        </w:rPr>
        <w:footnoteReference w:id="63"/>
      </w:r>
      <w:r w:rsidR="00170913" w:rsidRPr="00655D7B">
        <w:rPr>
          <w:sz w:val="24"/>
          <w:szCs w:val="24"/>
          <w:lang w:val="en-US"/>
        </w:rPr>
        <w:t xml:space="preserve"> it was in the middle and late 2000s that Brazilian law effectively abandoned </w:t>
      </w:r>
      <w:r w:rsidR="005D0B7B">
        <w:rPr>
          <w:sz w:val="24"/>
          <w:szCs w:val="24"/>
          <w:lang w:val="en-US"/>
        </w:rPr>
        <w:t>lock-in</w:t>
      </w:r>
      <w:r w:rsidR="00170913" w:rsidRPr="00655D7B">
        <w:rPr>
          <w:sz w:val="24"/>
          <w:szCs w:val="24"/>
          <w:lang w:val="en-US"/>
        </w:rPr>
        <w:t xml:space="preserve"> as </w:t>
      </w:r>
      <w:r w:rsidR="00C4780F">
        <w:rPr>
          <w:sz w:val="24"/>
          <w:szCs w:val="24"/>
          <w:lang w:val="en-US"/>
        </w:rPr>
        <w:t>an attribute</w:t>
      </w:r>
      <w:r w:rsidR="00170913" w:rsidRPr="00655D7B">
        <w:rPr>
          <w:sz w:val="24"/>
          <w:szCs w:val="24"/>
          <w:lang w:val="en-US"/>
        </w:rPr>
        <w:t xml:space="preserve"> of close corporations. </w:t>
      </w:r>
      <w:r w:rsidR="00765686">
        <w:rPr>
          <w:sz w:val="24"/>
          <w:szCs w:val="24"/>
          <w:lang w:val="en-US"/>
        </w:rPr>
        <w:t xml:space="preserve">Two key </w:t>
      </w:r>
      <w:proofErr w:type="spellStart"/>
      <w:r w:rsidR="008219D4">
        <w:rPr>
          <w:i/>
          <w:sz w:val="24"/>
          <w:szCs w:val="24"/>
          <w:lang w:val="en-US"/>
        </w:rPr>
        <w:t>en</w:t>
      </w:r>
      <w:proofErr w:type="spellEnd"/>
      <w:r w:rsidR="008219D4">
        <w:rPr>
          <w:i/>
          <w:sz w:val="24"/>
          <w:szCs w:val="24"/>
          <w:lang w:val="en-US"/>
        </w:rPr>
        <w:t xml:space="preserve"> banc </w:t>
      </w:r>
      <w:r w:rsidR="00765686">
        <w:rPr>
          <w:sz w:val="24"/>
          <w:szCs w:val="24"/>
          <w:lang w:val="en-US"/>
        </w:rPr>
        <w:t>decisions</w:t>
      </w:r>
      <w:r w:rsidR="00A6718E" w:rsidRPr="00655D7B">
        <w:rPr>
          <w:sz w:val="24"/>
          <w:szCs w:val="24"/>
          <w:lang w:val="en-US"/>
        </w:rPr>
        <w:t xml:space="preserve"> by the</w:t>
      </w:r>
      <w:r w:rsidR="00AE0355">
        <w:rPr>
          <w:sz w:val="24"/>
          <w:szCs w:val="24"/>
          <w:lang w:val="en-US"/>
        </w:rPr>
        <w:t xml:space="preserve"> private law chambers of the</w:t>
      </w:r>
      <w:r w:rsidR="00A6718E" w:rsidRPr="00655D7B">
        <w:rPr>
          <w:sz w:val="24"/>
          <w:szCs w:val="24"/>
          <w:lang w:val="en-US"/>
        </w:rPr>
        <w:t xml:space="preserve"> Brazilian Superior Court of Justice</w:t>
      </w:r>
      <w:r w:rsidR="008219D4">
        <w:rPr>
          <w:sz w:val="24"/>
          <w:szCs w:val="24"/>
          <w:lang w:val="en-US"/>
        </w:rPr>
        <w:t xml:space="preserve"> </w:t>
      </w:r>
      <w:r w:rsidR="00B51554">
        <w:rPr>
          <w:sz w:val="24"/>
          <w:szCs w:val="24"/>
          <w:lang w:val="en-US"/>
        </w:rPr>
        <w:t>(</w:t>
      </w:r>
      <w:r w:rsidR="00B51554">
        <w:rPr>
          <w:i/>
          <w:sz w:val="24"/>
          <w:szCs w:val="24"/>
          <w:lang w:val="en-US"/>
        </w:rPr>
        <w:t xml:space="preserve">Superior Tribunal de </w:t>
      </w:r>
      <w:proofErr w:type="spellStart"/>
      <w:r w:rsidR="00B51554">
        <w:rPr>
          <w:i/>
          <w:sz w:val="24"/>
          <w:szCs w:val="24"/>
          <w:lang w:val="en-US"/>
        </w:rPr>
        <w:t>Justiça</w:t>
      </w:r>
      <w:proofErr w:type="spellEnd"/>
      <w:r w:rsidR="00B51554">
        <w:rPr>
          <w:sz w:val="24"/>
          <w:szCs w:val="24"/>
          <w:lang w:val="en-US"/>
        </w:rPr>
        <w:t>–STJ)</w:t>
      </w:r>
      <w:r w:rsidR="008219D4">
        <w:rPr>
          <w:sz w:val="24"/>
          <w:szCs w:val="24"/>
          <w:lang w:val="en-US"/>
        </w:rPr>
        <w:t>, whose mission is to guarantee the uniform interpretation of federal legislation in Brazil,</w:t>
      </w:r>
      <w:r w:rsidR="00A6718E" w:rsidRPr="00655D7B">
        <w:rPr>
          <w:sz w:val="24"/>
          <w:szCs w:val="24"/>
          <w:lang w:val="en-US"/>
        </w:rPr>
        <w:t xml:space="preserve"> </w:t>
      </w:r>
      <w:r w:rsidR="00C95312" w:rsidRPr="00655D7B">
        <w:rPr>
          <w:sz w:val="24"/>
          <w:szCs w:val="24"/>
          <w:lang w:val="en-US"/>
        </w:rPr>
        <w:t xml:space="preserve">settled the </w:t>
      </w:r>
      <w:r w:rsidR="002833BF">
        <w:rPr>
          <w:sz w:val="24"/>
          <w:szCs w:val="24"/>
          <w:lang w:val="en-US"/>
        </w:rPr>
        <w:t>new</w:t>
      </w:r>
      <w:r w:rsidR="00C95312" w:rsidRPr="00655D7B">
        <w:rPr>
          <w:sz w:val="24"/>
          <w:szCs w:val="24"/>
          <w:lang w:val="en-US"/>
        </w:rPr>
        <w:t xml:space="preserve"> legal controversy (including among the court’s own </w:t>
      </w:r>
      <w:r w:rsidR="00C95312" w:rsidRPr="008219D4">
        <w:rPr>
          <w:sz w:val="24"/>
          <w:szCs w:val="24"/>
          <w:lang w:val="en-US"/>
        </w:rPr>
        <w:t>chambers)</w:t>
      </w:r>
      <w:r w:rsidR="008219D4">
        <w:rPr>
          <w:sz w:val="24"/>
          <w:szCs w:val="24"/>
          <w:lang w:val="en-US"/>
        </w:rPr>
        <w:t xml:space="preserve">. It essentially </w:t>
      </w:r>
      <w:r w:rsidR="00C95312" w:rsidRPr="008219D4">
        <w:rPr>
          <w:sz w:val="24"/>
          <w:szCs w:val="24"/>
          <w:lang w:val="en-US"/>
        </w:rPr>
        <w:t>extend</w:t>
      </w:r>
      <w:r w:rsidR="008219D4">
        <w:rPr>
          <w:sz w:val="24"/>
          <w:szCs w:val="24"/>
          <w:lang w:val="en-US"/>
        </w:rPr>
        <w:t>ed</w:t>
      </w:r>
      <w:r w:rsidR="00C95312" w:rsidRPr="008219D4">
        <w:rPr>
          <w:sz w:val="24"/>
          <w:szCs w:val="24"/>
          <w:lang w:val="en-US"/>
        </w:rPr>
        <w:t xml:space="preserve"> to the S.A. the regime of partial dissolution </w:t>
      </w:r>
      <w:r w:rsidR="002940C2" w:rsidRPr="008219D4">
        <w:rPr>
          <w:sz w:val="24"/>
          <w:szCs w:val="24"/>
          <w:lang w:val="en-US"/>
        </w:rPr>
        <w:t xml:space="preserve">then </w:t>
      </w:r>
      <w:r w:rsidR="00C95312" w:rsidRPr="008219D4">
        <w:rPr>
          <w:sz w:val="24"/>
          <w:szCs w:val="24"/>
          <w:lang w:val="en-US"/>
        </w:rPr>
        <w:t xml:space="preserve">prevailing in the </w:t>
      </w:r>
      <w:proofErr w:type="spellStart"/>
      <w:r w:rsidR="00C95312" w:rsidRPr="008219D4">
        <w:rPr>
          <w:i/>
          <w:sz w:val="24"/>
          <w:szCs w:val="24"/>
          <w:lang w:val="en-US"/>
        </w:rPr>
        <w:t>limitada</w:t>
      </w:r>
      <w:proofErr w:type="spellEnd"/>
      <w:r w:rsidR="00C95312" w:rsidRPr="008219D4">
        <w:rPr>
          <w:sz w:val="24"/>
          <w:szCs w:val="24"/>
          <w:lang w:val="en-US"/>
        </w:rPr>
        <w:t xml:space="preserve">, </w:t>
      </w:r>
      <w:r w:rsidR="00834090">
        <w:rPr>
          <w:sz w:val="24"/>
          <w:szCs w:val="24"/>
          <w:lang w:val="en-US"/>
        </w:rPr>
        <w:t xml:space="preserve">thus </w:t>
      </w:r>
      <w:r w:rsidR="00C95312" w:rsidRPr="008219D4">
        <w:rPr>
          <w:sz w:val="24"/>
          <w:szCs w:val="24"/>
          <w:lang w:val="en-US"/>
        </w:rPr>
        <w:t xml:space="preserve">permitting disgruntled shareholders to withdraw </w:t>
      </w:r>
      <w:r w:rsidR="00C43246">
        <w:rPr>
          <w:sz w:val="24"/>
          <w:szCs w:val="24"/>
          <w:lang w:val="en-US"/>
        </w:rPr>
        <w:t xml:space="preserve">at will </w:t>
      </w:r>
      <w:r w:rsidR="00C95312" w:rsidRPr="008219D4">
        <w:rPr>
          <w:sz w:val="24"/>
          <w:szCs w:val="24"/>
          <w:lang w:val="en-US"/>
        </w:rPr>
        <w:t>thei</w:t>
      </w:r>
      <w:r w:rsidR="008219D4">
        <w:rPr>
          <w:sz w:val="24"/>
          <w:szCs w:val="24"/>
          <w:lang w:val="en-US"/>
        </w:rPr>
        <w:t>r share of</w:t>
      </w:r>
      <w:r w:rsidR="00C95312" w:rsidRPr="008219D4">
        <w:rPr>
          <w:sz w:val="24"/>
          <w:szCs w:val="24"/>
          <w:lang w:val="en-US"/>
        </w:rPr>
        <w:t xml:space="preserve"> the firm’s assets. </w:t>
      </w:r>
    </w:p>
    <w:p w:rsidR="00BE298B" w:rsidRDefault="008219D4" w:rsidP="00260800">
      <w:pPr>
        <w:jc w:val="both"/>
        <w:rPr>
          <w:sz w:val="24"/>
          <w:szCs w:val="24"/>
          <w:lang w:val="en-US"/>
        </w:rPr>
      </w:pPr>
      <w:r w:rsidRPr="008219D4">
        <w:rPr>
          <w:sz w:val="24"/>
          <w:szCs w:val="24"/>
          <w:lang w:val="en-US"/>
        </w:rPr>
        <w:tab/>
        <w:t xml:space="preserve">In </w:t>
      </w:r>
      <w:r>
        <w:rPr>
          <w:sz w:val="24"/>
          <w:szCs w:val="24"/>
          <w:lang w:val="en-US"/>
        </w:rPr>
        <w:t>2006, the court’</w:t>
      </w:r>
      <w:r w:rsidR="0007101A">
        <w:rPr>
          <w:sz w:val="24"/>
          <w:szCs w:val="24"/>
          <w:lang w:val="en-US"/>
        </w:rPr>
        <w:t>s</w:t>
      </w:r>
      <w:r>
        <w:rPr>
          <w:sz w:val="24"/>
          <w:szCs w:val="24"/>
          <w:lang w:val="en-US"/>
        </w:rPr>
        <w:t xml:space="preserve"> </w:t>
      </w:r>
      <w:r w:rsidR="00C43246">
        <w:rPr>
          <w:sz w:val="24"/>
          <w:szCs w:val="24"/>
          <w:lang w:val="en-US"/>
        </w:rPr>
        <w:t xml:space="preserve">first </w:t>
      </w:r>
      <w:proofErr w:type="spellStart"/>
      <w:r w:rsidR="00C43246">
        <w:rPr>
          <w:i/>
          <w:sz w:val="24"/>
          <w:szCs w:val="24"/>
          <w:lang w:val="en-US"/>
        </w:rPr>
        <w:t>en</w:t>
      </w:r>
      <w:proofErr w:type="spellEnd"/>
      <w:r w:rsidR="00C43246">
        <w:rPr>
          <w:i/>
          <w:sz w:val="24"/>
          <w:szCs w:val="24"/>
          <w:lang w:val="en-US"/>
        </w:rPr>
        <w:t xml:space="preserve"> banc </w:t>
      </w:r>
      <w:r w:rsidR="00C43246">
        <w:rPr>
          <w:sz w:val="24"/>
          <w:szCs w:val="24"/>
          <w:lang w:val="en-US"/>
        </w:rPr>
        <w:t xml:space="preserve">decision </w:t>
      </w:r>
      <w:r w:rsidR="000F4931">
        <w:rPr>
          <w:sz w:val="24"/>
          <w:szCs w:val="24"/>
          <w:lang w:val="en-US"/>
        </w:rPr>
        <w:t xml:space="preserve">concerned a request for </w:t>
      </w:r>
      <w:r w:rsidR="001323DD">
        <w:rPr>
          <w:sz w:val="24"/>
          <w:szCs w:val="24"/>
          <w:lang w:val="en-US"/>
        </w:rPr>
        <w:t xml:space="preserve">judicial </w:t>
      </w:r>
      <w:r w:rsidR="000D75B9">
        <w:rPr>
          <w:sz w:val="24"/>
          <w:szCs w:val="24"/>
          <w:lang w:val="en-US"/>
        </w:rPr>
        <w:t>dissolution of pulp and paper corporation COCELPA</w:t>
      </w:r>
      <w:r w:rsidR="00AC5184">
        <w:rPr>
          <w:sz w:val="24"/>
          <w:szCs w:val="24"/>
          <w:lang w:val="en-US"/>
        </w:rPr>
        <w:t>.</w:t>
      </w:r>
      <w:bookmarkStart w:id="10" w:name="_Ref452646881"/>
      <w:r w:rsidR="00442C0A">
        <w:rPr>
          <w:rStyle w:val="Refdenotaderodap"/>
          <w:sz w:val="24"/>
          <w:szCs w:val="24"/>
          <w:lang w:val="en-US"/>
        </w:rPr>
        <w:footnoteReference w:id="64"/>
      </w:r>
      <w:bookmarkEnd w:id="10"/>
      <w:r w:rsidR="00AC5184">
        <w:rPr>
          <w:sz w:val="24"/>
          <w:szCs w:val="24"/>
          <w:lang w:val="en-US"/>
        </w:rPr>
        <w:t xml:space="preserve"> T</w:t>
      </w:r>
      <w:r w:rsidR="00AD1A82">
        <w:rPr>
          <w:sz w:val="24"/>
          <w:szCs w:val="24"/>
          <w:lang w:val="en-US"/>
        </w:rPr>
        <w:t xml:space="preserve">his </w:t>
      </w:r>
      <w:r w:rsidR="0094565E">
        <w:rPr>
          <w:sz w:val="24"/>
          <w:szCs w:val="24"/>
          <w:lang w:val="en-US"/>
        </w:rPr>
        <w:t xml:space="preserve">lawsuit </w:t>
      </w:r>
      <w:proofErr w:type="gramStart"/>
      <w:r w:rsidR="0094565E">
        <w:rPr>
          <w:sz w:val="24"/>
          <w:szCs w:val="24"/>
          <w:lang w:val="en-US"/>
        </w:rPr>
        <w:t>was filed</w:t>
      </w:r>
      <w:proofErr w:type="gramEnd"/>
      <w:r w:rsidR="0094565E">
        <w:rPr>
          <w:sz w:val="24"/>
          <w:szCs w:val="24"/>
          <w:lang w:val="en-US"/>
        </w:rPr>
        <w:t xml:space="preserve"> in 1991</w:t>
      </w:r>
      <w:r w:rsidR="005166C8">
        <w:rPr>
          <w:sz w:val="24"/>
          <w:szCs w:val="24"/>
          <w:lang w:val="en-US"/>
        </w:rPr>
        <w:t xml:space="preserve"> </w:t>
      </w:r>
      <w:r w:rsidR="0094565E">
        <w:rPr>
          <w:sz w:val="24"/>
          <w:szCs w:val="24"/>
          <w:lang w:val="en-US"/>
        </w:rPr>
        <w:t xml:space="preserve">by </w:t>
      </w:r>
      <w:r w:rsidR="000D75B9">
        <w:rPr>
          <w:sz w:val="24"/>
          <w:szCs w:val="24"/>
          <w:lang w:val="en-US"/>
        </w:rPr>
        <w:t xml:space="preserve">the estates of two minority shareholders against the company and the remaining shareholders, including the </w:t>
      </w:r>
      <w:r w:rsidR="00C62FA7">
        <w:rPr>
          <w:sz w:val="24"/>
          <w:szCs w:val="24"/>
          <w:lang w:val="en-US"/>
        </w:rPr>
        <w:t>equity arm of the Brazilian National Development Bank (BNDESPAR)</w:t>
      </w:r>
      <w:r w:rsidR="006B3067">
        <w:rPr>
          <w:sz w:val="24"/>
          <w:szCs w:val="24"/>
          <w:lang w:val="en-US"/>
        </w:rPr>
        <w:t xml:space="preserve">. Alternatively, the plaintiffs requested the </w:t>
      </w:r>
      <w:r w:rsidR="0049189F">
        <w:rPr>
          <w:sz w:val="24"/>
          <w:szCs w:val="24"/>
          <w:lang w:val="en-US"/>
        </w:rPr>
        <w:t xml:space="preserve">partial </w:t>
      </w:r>
      <w:r w:rsidR="001323DD">
        <w:rPr>
          <w:sz w:val="24"/>
          <w:szCs w:val="24"/>
          <w:lang w:val="en-US"/>
        </w:rPr>
        <w:t>dissolution of the c</w:t>
      </w:r>
      <w:r w:rsidR="006B3067">
        <w:rPr>
          <w:sz w:val="24"/>
          <w:szCs w:val="24"/>
          <w:lang w:val="en-US"/>
        </w:rPr>
        <w:t>orporation</w:t>
      </w:r>
      <w:r w:rsidR="001323DD">
        <w:rPr>
          <w:sz w:val="24"/>
          <w:szCs w:val="24"/>
          <w:lang w:val="en-US"/>
        </w:rPr>
        <w:t>.</w:t>
      </w:r>
      <w:r w:rsidR="00C62FA7">
        <w:rPr>
          <w:sz w:val="24"/>
          <w:szCs w:val="24"/>
          <w:lang w:val="en-US"/>
        </w:rPr>
        <w:t xml:space="preserve"> </w:t>
      </w:r>
      <w:r w:rsidR="001323DD">
        <w:rPr>
          <w:sz w:val="24"/>
          <w:szCs w:val="24"/>
          <w:lang w:val="en-US"/>
        </w:rPr>
        <w:t xml:space="preserve">Pointing to irregularities in the company’s management, the lack of profits, and the longstanding absence of dividend distributions, the plaintiffs argued that the company could not fulfill its purpose under </w:t>
      </w:r>
      <w:r w:rsidR="003B15D5">
        <w:rPr>
          <w:sz w:val="24"/>
          <w:szCs w:val="24"/>
          <w:lang w:val="en-US"/>
        </w:rPr>
        <w:t xml:space="preserve">Art. </w:t>
      </w:r>
      <w:proofErr w:type="gramStart"/>
      <w:r w:rsidR="0094565E">
        <w:rPr>
          <w:sz w:val="24"/>
          <w:szCs w:val="24"/>
          <w:lang w:val="en-US"/>
        </w:rPr>
        <w:t>206</w:t>
      </w:r>
      <w:proofErr w:type="gramEnd"/>
      <w:r w:rsidR="0094565E">
        <w:rPr>
          <w:sz w:val="24"/>
          <w:szCs w:val="24"/>
          <w:lang w:val="en-US"/>
        </w:rPr>
        <w:t xml:space="preserve">, II, </w:t>
      </w:r>
      <w:r w:rsidR="0094565E">
        <w:rPr>
          <w:i/>
          <w:sz w:val="24"/>
          <w:szCs w:val="24"/>
          <w:lang w:val="en-US"/>
        </w:rPr>
        <w:t>b</w:t>
      </w:r>
      <w:r w:rsidR="00910310">
        <w:rPr>
          <w:sz w:val="24"/>
          <w:szCs w:val="24"/>
          <w:lang w:val="en-US"/>
        </w:rPr>
        <w:t xml:space="preserve"> of the </w:t>
      </w:r>
      <w:r w:rsidR="00D179AF">
        <w:rPr>
          <w:sz w:val="24"/>
          <w:szCs w:val="24"/>
          <w:lang w:val="en-US"/>
        </w:rPr>
        <w:t>LSA</w:t>
      </w:r>
      <w:r w:rsidR="00BE298B">
        <w:rPr>
          <w:sz w:val="24"/>
          <w:szCs w:val="24"/>
          <w:lang w:val="en-US"/>
        </w:rPr>
        <w:t>, and therefore ought to be dissolved</w:t>
      </w:r>
      <w:r w:rsidR="00910310">
        <w:rPr>
          <w:sz w:val="24"/>
          <w:szCs w:val="24"/>
          <w:lang w:val="en-US"/>
        </w:rPr>
        <w:t>.</w:t>
      </w:r>
    </w:p>
    <w:p w:rsidR="00D94247" w:rsidRDefault="00BE298B" w:rsidP="00260800">
      <w:pPr>
        <w:autoSpaceDE w:val="0"/>
        <w:autoSpaceDN w:val="0"/>
        <w:adjustRightInd w:val="0"/>
        <w:spacing w:after="0"/>
        <w:jc w:val="both"/>
        <w:rPr>
          <w:sz w:val="24"/>
          <w:szCs w:val="24"/>
          <w:lang w:val="en-US"/>
        </w:rPr>
      </w:pPr>
      <w:r>
        <w:rPr>
          <w:sz w:val="24"/>
          <w:szCs w:val="24"/>
          <w:lang w:val="en-US"/>
        </w:rPr>
        <w:tab/>
        <w:t>The Court’s decision focused not so much on the absence of dividend distribution</w:t>
      </w:r>
      <w:r w:rsidR="00A44C2B">
        <w:rPr>
          <w:sz w:val="24"/>
          <w:szCs w:val="24"/>
          <w:lang w:val="en-US"/>
        </w:rPr>
        <w:t>s,</w:t>
      </w:r>
      <w:r>
        <w:rPr>
          <w:sz w:val="24"/>
          <w:szCs w:val="24"/>
          <w:lang w:val="en-US"/>
        </w:rPr>
        <w:t xml:space="preserve"> but on another element of the claim—the breach of “</w:t>
      </w:r>
      <w:proofErr w:type="spellStart"/>
      <w:r w:rsidR="002148E5">
        <w:rPr>
          <w:i/>
          <w:sz w:val="24"/>
          <w:szCs w:val="24"/>
          <w:lang w:val="en-US"/>
        </w:rPr>
        <w:t>affectio</w:t>
      </w:r>
      <w:proofErr w:type="spellEnd"/>
      <w:r>
        <w:rPr>
          <w:i/>
          <w:sz w:val="24"/>
          <w:szCs w:val="24"/>
          <w:lang w:val="en-US"/>
        </w:rPr>
        <w:t xml:space="preserve"> </w:t>
      </w:r>
      <w:proofErr w:type="spellStart"/>
      <w:r>
        <w:rPr>
          <w:i/>
          <w:sz w:val="24"/>
          <w:szCs w:val="24"/>
          <w:lang w:val="en-US"/>
        </w:rPr>
        <w:t>societatis</w:t>
      </w:r>
      <w:proofErr w:type="spellEnd"/>
      <w:r>
        <w:rPr>
          <w:sz w:val="24"/>
          <w:szCs w:val="24"/>
          <w:lang w:val="en-US"/>
        </w:rPr>
        <w:t>,” a Roman law</w:t>
      </w:r>
      <w:r w:rsidR="00AE0355">
        <w:rPr>
          <w:sz w:val="24"/>
          <w:szCs w:val="24"/>
          <w:lang w:val="en-US"/>
        </w:rPr>
        <w:t xml:space="preserve"> concept</w:t>
      </w:r>
      <w:r>
        <w:rPr>
          <w:sz w:val="24"/>
          <w:szCs w:val="24"/>
          <w:lang w:val="en-US"/>
        </w:rPr>
        <w:t xml:space="preserve"> denoting the willingn</w:t>
      </w:r>
      <w:r w:rsidR="00813308">
        <w:rPr>
          <w:sz w:val="24"/>
          <w:szCs w:val="24"/>
          <w:lang w:val="en-US"/>
        </w:rPr>
        <w:t>ess to take</w:t>
      </w:r>
      <w:r>
        <w:rPr>
          <w:sz w:val="24"/>
          <w:szCs w:val="24"/>
          <w:lang w:val="en-US"/>
        </w:rPr>
        <w:t xml:space="preserve"> part </w:t>
      </w:r>
      <w:r w:rsidR="00813308">
        <w:rPr>
          <w:sz w:val="24"/>
          <w:szCs w:val="24"/>
          <w:lang w:val="en-US"/>
        </w:rPr>
        <w:t>in</w:t>
      </w:r>
      <w:r>
        <w:rPr>
          <w:sz w:val="24"/>
          <w:szCs w:val="24"/>
          <w:lang w:val="en-US"/>
        </w:rPr>
        <w:t xml:space="preserve"> a joint </w:t>
      </w:r>
      <w:r w:rsidR="00CD3F19">
        <w:rPr>
          <w:sz w:val="24"/>
          <w:szCs w:val="24"/>
          <w:lang w:val="en-US"/>
        </w:rPr>
        <w:t>enterprise</w:t>
      </w:r>
      <w:r>
        <w:rPr>
          <w:sz w:val="24"/>
          <w:szCs w:val="24"/>
          <w:lang w:val="en-US"/>
        </w:rPr>
        <w:t>.</w:t>
      </w:r>
      <w:r w:rsidR="006910BD">
        <w:rPr>
          <w:rStyle w:val="Refdenotaderodap"/>
          <w:sz w:val="24"/>
          <w:szCs w:val="24"/>
          <w:lang w:val="en-US"/>
        </w:rPr>
        <w:footnoteReference w:id="65"/>
      </w:r>
      <w:r>
        <w:rPr>
          <w:sz w:val="24"/>
          <w:szCs w:val="24"/>
          <w:lang w:val="en-US"/>
        </w:rPr>
        <w:t xml:space="preserve"> The opinion noted that, in Brazil, numerous close corporations </w:t>
      </w:r>
      <w:r w:rsidR="002B72D3">
        <w:rPr>
          <w:sz w:val="24"/>
          <w:szCs w:val="24"/>
          <w:lang w:val="en-US"/>
        </w:rPr>
        <w:t>have</w:t>
      </w:r>
      <w:r>
        <w:rPr>
          <w:sz w:val="24"/>
          <w:szCs w:val="24"/>
          <w:lang w:val="en-US"/>
        </w:rPr>
        <w:t xml:space="preserve"> familial ties </w:t>
      </w:r>
      <w:r w:rsidR="001C52F6">
        <w:rPr>
          <w:sz w:val="24"/>
          <w:szCs w:val="24"/>
          <w:lang w:val="en-US"/>
        </w:rPr>
        <w:t xml:space="preserve">and </w:t>
      </w:r>
      <w:r>
        <w:rPr>
          <w:sz w:val="24"/>
          <w:szCs w:val="24"/>
          <w:lang w:val="en-US"/>
        </w:rPr>
        <w:t xml:space="preserve">are formed </w:t>
      </w:r>
      <w:proofErr w:type="spellStart"/>
      <w:r>
        <w:rPr>
          <w:i/>
          <w:sz w:val="24"/>
          <w:szCs w:val="24"/>
          <w:lang w:val="en-US"/>
        </w:rPr>
        <w:t>intuitu</w:t>
      </w:r>
      <w:proofErr w:type="spellEnd"/>
      <w:r>
        <w:rPr>
          <w:i/>
          <w:sz w:val="24"/>
          <w:szCs w:val="24"/>
          <w:lang w:val="en-US"/>
        </w:rPr>
        <w:t xml:space="preserve"> personae</w:t>
      </w:r>
      <w:r>
        <w:rPr>
          <w:sz w:val="24"/>
          <w:szCs w:val="24"/>
          <w:lang w:val="en-US"/>
        </w:rPr>
        <w:t xml:space="preserve">, which means that the identity of the shareholders is key to corporate success. </w:t>
      </w:r>
      <w:r w:rsidRPr="00BE298B">
        <w:rPr>
          <w:sz w:val="24"/>
          <w:szCs w:val="24"/>
          <w:lang w:val="en-US"/>
        </w:rPr>
        <w:t>In th</w:t>
      </w:r>
      <w:r w:rsidR="0019343D">
        <w:rPr>
          <w:sz w:val="24"/>
          <w:szCs w:val="24"/>
          <w:lang w:val="en-US"/>
        </w:rPr>
        <w:t>e</w:t>
      </w:r>
      <w:r w:rsidRPr="00BE298B">
        <w:rPr>
          <w:sz w:val="24"/>
          <w:szCs w:val="24"/>
          <w:lang w:val="en-US"/>
        </w:rPr>
        <w:t>s</w:t>
      </w:r>
      <w:r w:rsidR="0019343D">
        <w:rPr>
          <w:sz w:val="24"/>
          <w:szCs w:val="24"/>
          <w:lang w:val="en-US"/>
        </w:rPr>
        <w:t>e</w:t>
      </w:r>
      <w:r w:rsidRPr="00BE298B">
        <w:rPr>
          <w:sz w:val="24"/>
          <w:szCs w:val="24"/>
          <w:lang w:val="en-US"/>
        </w:rPr>
        <w:t xml:space="preserve"> companies, the breach of </w:t>
      </w:r>
      <w:proofErr w:type="spellStart"/>
      <w:r w:rsidRPr="00BE298B">
        <w:rPr>
          <w:i/>
          <w:sz w:val="24"/>
          <w:szCs w:val="24"/>
          <w:lang w:val="en-US"/>
        </w:rPr>
        <w:t>affectio</w:t>
      </w:r>
      <w:proofErr w:type="spellEnd"/>
      <w:r w:rsidRPr="00BE298B">
        <w:rPr>
          <w:sz w:val="24"/>
          <w:szCs w:val="24"/>
          <w:lang w:val="en-US"/>
        </w:rPr>
        <w:t xml:space="preserve">—understood as the </w:t>
      </w:r>
      <w:r>
        <w:rPr>
          <w:sz w:val="24"/>
          <w:szCs w:val="24"/>
          <w:lang w:val="en-US"/>
        </w:rPr>
        <w:t xml:space="preserve">“affinity and personal identification among shareholders, marked by mutual confidence”—prevented the </w:t>
      </w:r>
      <w:r w:rsidR="00F43393">
        <w:rPr>
          <w:sz w:val="24"/>
          <w:szCs w:val="24"/>
          <w:lang w:val="en-US"/>
        </w:rPr>
        <w:t>corporation</w:t>
      </w:r>
      <w:r>
        <w:rPr>
          <w:sz w:val="24"/>
          <w:szCs w:val="24"/>
          <w:lang w:val="en-US"/>
        </w:rPr>
        <w:t xml:space="preserve"> from fulfilling its purpose, as provided by the </w:t>
      </w:r>
      <w:r w:rsidR="00D60815">
        <w:rPr>
          <w:sz w:val="24"/>
          <w:szCs w:val="24"/>
          <w:lang w:val="en-US"/>
        </w:rPr>
        <w:t>LSA</w:t>
      </w:r>
      <w:r>
        <w:rPr>
          <w:sz w:val="24"/>
          <w:szCs w:val="24"/>
          <w:lang w:val="en-US"/>
        </w:rPr>
        <w:t>.</w:t>
      </w:r>
      <w:r w:rsidR="00DF03C3">
        <w:rPr>
          <w:rStyle w:val="Refdenotaderodap"/>
          <w:sz w:val="24"/>
          <w:szCs w:val="24"/>
          <w:lang w:val="en-US"/>
        </w:rPr>
        <w:footnoteReference w:id="66"/>
      </w:r>
      <w:r>
        <w:rPr>
          <w:sz w:val="24"/>
          <w:szCs w:val="24"/>
          <w:lang w:val="en-US"/>
        </w:rPr>
        <w:t xml:space="preserve"> </w:t>
      </w:r>
    </w:p>
    <w:p w:rsidR="00D94247" w:rsidRDefault="00D94247" w:rsidP="00260800">
      <w:pPr>
        <w:autoSpaceDE w:val="0"/>
        <w:autoSpaceDN w:val="0"/>
        <w:adjustRightInd w:val="0"/>
        <w:spacing w:after="0"/>
        <w:jc w:val="both"/>
        <w:rPr>
          <w:sz w:val="24"/>
          <w:szCs w:val="24"/>
          <w:lang w:val="en-US"/>
        </w:rPr>
      </w:pPr>
    </w:p>
    <w:p w:rsidR="00F35CA8" w:rsidRPr="002C1B8F" w:rsidRDefault="00D94247" w:rsidP="00260800">
      <w:pPr>
        <w:autoSpaceDE w:val="0"/>
        <w:autoSpaceDN w:val="0"/>
        <w:adjustRightInd w:val="0"/>
        <w:spacing w:after="0"/>
        <w:ind w:firstLine="708"/>
        <w:jc w:val="both"/>
        <w:rPr>
          <w:b/>
          <w:sz w:val="24"/>
          <w:szCs w:val="24"/>
          <w:lang w:val="en-US"/>
        </w:rPr>
      </w:pPr>
      <w:r>
        <w:rPr>
          <w:sz w:val="24"/>
          <w:szCs w:val="24"/>
          <w:lang w:val="en-US"/>
        </w:rPr>
        <w:lastRenderedPageBreak/>
        <w:t xml:space="preserve">Embracing a reasoning that </w:t>
      </w:r>
      <w:r w:rsidR="00E31482">
        <w:rPr>
          <w:sz w:val="24"/>
          <w:szCs w:val="24"/>
          <w:lang w:val="en-US"/>
        </w:rPr>
        <w:t>unknowingly</w:t>
      </w:r>
      <w:r w:rsidR="00077611">
        <w:rPr>
          <w:sz w:val="24"/>
          <w:szCs w:val="24"/>
          <w:lang w:val="en-US"/>
        </w:rPr>
        <w:t xml:space="preserve"> mirrored the arguments </w:t>
      </w:r>
      <w:r w:rsidR="0049189F">
        <w:rPr>
          <w:sz w:val="24"/>
          <w:szCs w:val="24"/>
          <w:lang w:val="en-US"/>
        </w:rPr>
        <w:t>made by</w:t>
      </w:r>
      <w:r>
        <w:rPr>
          <w:sz w:val="24"/>
          <w:szCs w:val="24"/>
          <w:lang w:val="en-US"/>
        </w:rPr>
        <w:t xml:space="preserve"> U.S. </w:t>
      </w:r>
      <w:proofErr w:type="gramStart"/>
      <w:r>
        <w:rPr>
          <w:sz w:val="24"/>
          <w:szCs w:val="24"/>
          <w:lang w:val="en-US"/>
        </w:rPr>
        <w:t>scholars</w:t>
      </w:r>
      <w:proofErr w:type="gramEnd"/>
      <w:r>
        <w:rPr>
          <w:sz w:val="24"/>
          <w:szCs w:val="24"/>
          <w:lang w:val="en-US"/>
        </w:rPr>
        <w:t xml:space="preserve"> decades earlier, the</w:t>
      </w:r>
      <w:r w:rsidR="00F570F0">
        <w:rPr>
          <w:sz w:val="24"/>
          <w:szCs w:val="24"/>
          <w:lang w:val="en-US"/>
        </w:rPr>
        <w:t xml:space="preserve"> opinion</w:t>
      </w:r>
      <w:r>
        <w:rPr>
          <w:sz w:val="24"/>
          <w:szCs w:val="24"/>
          <w:lang w:val="en-US"/>
        </w:rPr>
        <w:t xml:space="preserve"> held that such a</w:t>
      </w:r>
      <w:r w:rsidR="00AE623B">
        <w:rPr>
          <w:sz w:val="24"/>
          <w:szCs w:val="24"/>
          <w:lang w:val="en-US"/>
        </w:rPr>
        <w:t xml:space="preserve"> business corporation was, in essence, </w:t>
      </w:r>
      <w:r w:rsidR="00A720A4">
        <w:rPr>
          <w:sz w:val="24"/>
          <w:szCs w:val="24"/>
          <w:lang w:val="en-US"/>
        </w:rPr>
        <w:t>a “</w:t>
      </w:r>
      <w:proofErr w:type="spellStart"/>
      <w:r w:rsidR="00A720A4" w:rsidRPr="0049189F">
        <w:rPr>
          <w:i/>
          <w:sz w:val="24"/>
          <w:szCs w:val="24"/>
          <w:lang w:val="en-US"/>
        </w:rPr>
        <w:t>sociedade</w:t>
      </w:r>
      <w:proofErr w:type="spellEnd"/>
      <w:r w:rsidR="00A720A4" w:rsidRPr="0049189F">
        <w:rPr>
          <w:i/>
          <w:sz w:val="24"/>
          <w:szCs w:val="24"/>
          <w:lang w:val="en-US"/>
        </w:rPr>
        <w:t xml:space="preserve"> </w:t>
      </w:r>
      <w:proofErr w:type="spellStart"/>
      <w:r w:rsidR="00A720A4" w:rsidRPr="0049189F">
        <w:rPr>
          <w:i/>
          <w:sz w:val="24"/>
          <w:szCs w:val="24"/>
          <w:lang w:val="en-US"/>
        </w:rPr>
        <w:t>limitada</w:t>
      </w:r>
      <w:proofErr w:type="spellEnd"/>
      <w:r w:rsidR="00A720A4">
        <w:rPr>
          <w:sz w:val="24"/>
          <w:szCs w:val="24"/>
          <w:lang w:val="en-US"/>
        </w:rPr>
        <w:t xml:space="preserve"> in disguise.”</w:t>
      </w:r>
      <w:r w:rsidR="00DF03C3">
        <w:rPr>
          <w:rStyle w:val="Refdenotaderodap"/>
          <w:sz w:val="24"/>
          <w:szCs w:val="24"/>
          <w:lang w:val="en-US"/>
        </w:rPr>
        <w:footnoteReference w:id="67"/>
      </w:r>
      <w:r w:rsidR="00A720A4">
        <w:rPr>
          <w:sz w:val="24"/>
          <w:szCs w:val="24"/>
          <w:lang w:val="en-US"/>
        </w:rPr>
        <w:t xml:space="preserve"> </w:t>
      </w:r>
      <w:r w:rsidR="00BE298B">
        <w:rPr>
          <w:sz w:val="24"/>
          <w:szCs w:val="24"/>
          <w:lang w:val="en-US"/>
        </w:rPr>
        <w:t xml:space="preserve">Nevertheless, the Court found that “the rule of </w:t>
      </w:r>
      <w:r w:rsidR="0049189F">
        <w:rPr>
          <w:sz w:val="24"/>
          <w:szCs w:val="24"/>
          <w:lang w:val="en-US"/>
        </w:rPr>
        <w:t>full</w:t>
      </w:r>
      <w:r w:rsidR="00BE298B">
        <w:rPr>
          <w:sz w:val="24"/>
          <w:szCs w:val="24"/>
          <w:lang w:val="en-US"/>
        </w:rPr>
        <w:t xml:space="preserve"> dissolution, in these cases, would not assist the social values involved, with respect to the preservation of jobs, collection of taxes, and the country’s economic development.”</w:t>
      </w:r>
      <w:r w:rsidR="00DF03C3">
        <w:rPr>
          <w:rStyle w:val="Refdenotaderodap"/>
          <w:sz w:val="24"/>
          <w:szCs w:val="24"/>
          <w:lang w:val="en-US"/>
        </w:rPr>
        <w:footnoteReference w:id="68"/>
      </w:r>
      <w:r w:rsidR="00BE298B">
        <w:rPr>
          <w:sz w:val="24"/>
          <w:szCs w:val="24"/>
          <w:lang w:val="en-US"/>
        </w:rPr>
        <w:t xml:space="preserve"> As a result, it granted the request for partial dissolution as “the solution that best reconciles the individual interest of the withdrawing shareholders with the principle of preservation of enterp</w:t>
      </w:r>
      <w:r w:rsidR="00AE623B">
        <w:rPr>
          <w:sz w:val="24"/>
          <w:szCs w:val="24"/>
          <w:lang w:val="en-US"/>
        </w:rPr>
        <w:t>rise and its social utility.”</w:t>
      </w:r>
      <w:r w:rsidR="00077611">
        <w:rPr>
          <w:rStyle w:val="Refdenotaderodap"/>
          <w:sz w:val="24"/>
          <w:szCs w:val="24"/>
          <w:lang w:val="en-US"/>
        </w:rPr>
        <w:footnoteReference w:id="69"/>
      </w:r>
      <w:r w:rsidR="00AE623B">
        <w:rPr>
          <w:sz w:val="24"/>
          <w:szCs w:val="24"/>
          <w:lang w:val="en-US"/>
        </w:rPr>
        <w:t xml:space="preserve"> </w:t>
      </w:r>
    </w:p>
    <w:p w:rsidR="000C69C0" w:rsidRDefault="000C69C0" w:rsidP="00260800">
      <w:pPr>
        <w:autoSpaceDE w:val="0"/>
        <w:autoSpaceDN w:val="0"/>
        <w:adjustRightInd w:val="0"/>
        <w:spacing w:after="0"/>
        <w:jc w:val="both"/>
        <w:rPr>
          <w:b/>
          <w:sz w:val="24"/>
          <w:szCs w:val="24"/>
          <w:lang w:val="en-US"/>
        </w:rPr>
      </w:pPr>
    </w:p>
    <w:p w:rsidR="00504F19" w:rsidRDefault="000C69C0" w:rsidP="00260800">
      <w:pPr>
        <w:autoSpaceDE w:val="0"/>
        <w:autoSpaceDN w:val="0"/>
        <w:adjustRightInd w:val="0"/>
        <w:spacing w:after="0"/>
        <w:jc w:val="both"/>
        <w:rPr>
          <w:sz w:val="24"/>
          <w:szCs w:val="24"/>
          <w:lang w:val="en-US"/>
        </w:rPr>
      </w:pPr>
      <w:r>
        <w:rPr>
          <w:b/>
          <w:sz w:val="24"/>
          <w:szCs w:val="24"/>
          <w:lang w:val="en-US"/>
        </w:rPr>
        <w:tab/>
      </w:r>
      <w:r w:rsidR="00813308" w:rsidRPr="00813308">
        <w:rPr>
          <w:sz w:val="24"/>
          <w:szCs w:val="24"/>
          <w:lang w:val="en-US"/>
        </w:rPr>
        <w:t xml:space="preserve">In 2008, the STJ issued its second </w:t>
      </w:r>
      <w:proofErr w:type="spellStart"/>
      <w:r w:rsidR="00813308" w:rsidRPr="00813308">
        <w:rPr>
          <w:i/>
          <w:sz w:val="24"/>
          <w:szCs w:val="24"/>
          <w:lang w:val="en-US"/>
        </w:rPr>
        <w:t>en</w:t>
      </w:r>
      <w:proofErr w:type="spellEnd"/>
      <w:r w:rsidR="00813308" w:rsidRPr="00813308">
        <w:rPr>
          <w:i/>
          <w:sz w:val="24"/>
          <w:szCs w:val="24"/>
          <w:lang w:val="en-US"/>
        </w:rPr>
        <w:t xml:space="preserve"> banc </w:t>
      </w:r>
      <w:r w:rsidR="00813308" w:rsidRPr="00813308">
        <w:rPr>
          <w:sz w:val="24"/>
          <w:szCs w:val="24"/>
          <w:lang w:val="en-US"/>
        </w:rPr>
        <w:t>decision on the topic</w:t>
      </w:r>
      <w:r w:rsidR="00587F29">
        <w:rPr>
          <w:sz w:val="24"/>
          <w:szCs w:val="24"/>
          <w:lang w:val="en-US"/>
        </w:rPr>
        <w:t xml:space="preserve"> in the case of Luiz Kirchner S/A </w:t>
      </w:r>
      <w:proofErr w:type="spellStart"/>
      <w:r w:rsidR="00587F29">
        <w:rPr>
          <w:sz w:val="24"/>
          <w:szCs w:val="24"/>
          <w:lang w:val="en-US"/>
        </w:rPr>
        <w:t>Indústria</w:t>
      </w:r>
      <w:proofErr w:type="spellEnd"/>
      <w:r w:rsidR="00587F29">
        <w:rPr>
          <w:sz w:val="24"/>
          <w:szCs w:val="24"/>
          <w:lang w:val="en-US"/>
        </w:rPr>
        <w:t xml:space="preserve"> de </w:t>
      </w:r>
      <w:proofErr w:type="spellStart"/>
      <w:r w:rsidR="00587F29">
        <w:rPr>
          <w:sz w:val="24"/>
          <w:szCs w:val="24"/>
          <w:lang w:val="en-US"/>
        </w:rPr>
        <w:t>Borrachas</w:t>
      </w:r>
      <w:proofErr w:type="spellEnd"/>
      <w:r w:rsidR="00587F29">
        <w:rPr>
          <w:sz w:val="24"/>
          <w:szCs w:val="24"/>
          <w:lang w:val="en-US"/>
        </w:rPr>
        <w:t>.</w:t>
      </w:r>
      <w:r w:rsidR="00442C0A">
        <w:rPr>
          <w:rStyle w:val="Refdenotaderodap"/>
          <w:sz w:val="24"/>
          <w:szCs w:val="24"/>
          <w:lang w:val="en-US"/>
        </w:rPr>
        <w:footnoteReference w:id="70"/>
      </w:r>
      <w:r w:rsidR="00587F29">
        <w:rPr>
          <w:sz w:val="24"/>
          <w:szCs w:val="24"/>
          <w:lang w:val="en-US"/>
        </w:rPr>
        <w:t xml:space="preserve"> The Court</w:t>
      </w:r>
      <w:r w:rsidR="00813308" w:rsidRPr="00813308">
        <w:rPr>
          <w:sz w:val="24"/>
          <w:szCs w:val="24"/>
          <w:lang w:val="en-US"/>
        </w:rPr>
        <w:t xml:space="preserve"> </w:t>
      </w:r>
      <w:r w:rsidR="002148E5">
        <w:rPr>
          <w:sz w:val="24"/>
          <w:szCs w:val="24"/>
          <w:lang w:val="en-US"/>
        </w:rPr>
        <w:t xml:space="preserve">effectively expanded its prior holding by clarifying the admissibility of partial dissolutions </w:t>
      </w:r>
      <w:r w:rsidR="0049189F">
        <w:rPr>
          <w:sz w:val="24"/>
          <w:szCs w:val="24"/>
          <w:lang w:val="en-US"/>
        </w:rPr>
        <w:t>for</w:t>
      </w:r>
      <w:r w:rsidR="002148E5">
        <w:rPr>
          <w:sz w:val="24"/>
          <w:szCs w:val="24"/>
          <w:lang w:val="en-US"/>
        </w:rPr>
        <w:t xml:space="preserve"> breach of </w:t>
      </w:r>
      <w:proofErr w:type="spellStart"/>
      <w:r w:rsidR="002148E5">
        <w:rPr>
          <w:i/>
          <w:sz w:val="24"/>
          <w:szCs w:val="24"/>
          <w:lang w:val="en-US"/>
        </w:rPr>
        <w:t>affectio</w:t>
      </w:r>
      <w:proofErr w:type="spellEnd"/>
      <w:r w:rsidR="002148E5">
        <w:rPr>
          <w:i/>
          <w:sz w:val="24"/>
          <w:szCs w:val="24"/>
          <w:lang w:val="en-US"/>
        </w:rPr>
        <w:t xml:space="preserve"> </w:t>
      </w:r>
      <w:proofErr w:type="spellStart"/>
      <w:r w:rsidR="002148E5">
        <w:rPr>
          <w:i/>
          <w:sz w:val="24"/>
          <w:szCs w:val="24"/>
          <w:lang w:val="en-US"/>
        </w:rPr>
        <w:t>societatis</w:t>
      </w:r>
      <w:proofErr w:type="spellEnd"/>
      <w:r w:rsidR="002148E5">
        <w:rPr>
          <w:i/>
          <w:sz w:val="24"/>
          <w:szCs w:val="24"/>
          <w:lang w:val="en-US"/>
        </w:rPr>
        <w:t xml:space="preserve"> </w:t>
      </w:r>
      <w:r w:rsidR="002148E5">
        <w:rPr>
          <w:sz w:val="24"/>
          <w:szCs w:val="24"/>
          <w:lang w:val="en-US"/>
        </w:rPr>
        <w:t xml:space="preserve">alone, without the need to allege economic abuse or the absence of dividend distributions. </w:t>
      </w:r>
      <w:r w:rsidR="00D67D4F">
        <w:rPr>
          <w:sz w:val="24"/>
          <w:szCs w:val="24"/>
          <w:lang w:val="en-US"/>
        </w:rPr>
        <w:t xml:space="preserve">As in the prior </w:t>
      </w:r>
      <w:r w:rsidR="00AF35C8">
        <w:rPr>
          <w:sz w:val="24"/>
          <w:szCs w:val="24"/>
          <w:lang w:val="en-US"/>
        </w:rPr>
        <w:t>precedent</w:t>
      </w:r>
      <w:r w:rsidR="00B74BEC">
        <w:rPr>
          <w:sz w:val="24"/>
          <w:szCs w:val="24"/>
          <w:lang w:val="en-US"/>
        </w:rPr>
        <w:t>, the plaintiff in this</w:t>
      </w:r>
      <w:r w:rsidR="00F720C6">
        <w:rPr>
          <w:sz w:val="24"/>
          <w:szCs w:val="24"/>
          <w:lang w:val="en-US"/>
        </w:rPr>
        <w:t xml:space="preserve"> lawsuit</w:t>
      </w:r>
      <w:r w:rsidR="00B74BEC">
        <w:rPr>
          <w:sz w:val="24"/>
          <w:szCs w:val="24"/>
          <w:lang w:val="en-US"/>
        </w:rPr>
        <w:t xml:space="preserve"> was also the estate of a </w:t>
      </w:r>
      <w:r w:rsidR="007C6F19">
        <w:rPr>
          <w:sz w:val="24"/>
          <w:szCs w:val="24"/>
          <w:lang w:val="en-US"/>
        </w:rPr>
        <w:t xml:space="preserve">former </w:t>
      </w:r>
      <w:r w:rsidR="00B74BEC">
        <w:rPr>
          <w:sz w:val="24"/>
          <w:szCs w:val="24"/>
          <w:lang w:val="en-US"/>
        </w:rPr>
        <w:t xml:space="preserve">shareholder. </w:t>
      </w:r>
      <w:r w:rsidR="00AD1CE7">
        <w:rPr>
          <w:sz w:val="24"/>
          <w:szCs w:val="24"/>
          <w:lang w:val="en-US"/>
        </w:rPr>
        <w:t xml:space="preserve">The Court read the prior decision as considering “the preponderance in small and medium corporations of the existence of </w:t>
      </w:r>
      <w:proofErr w:type="spellStart"/>
      <w:r w:rsidR="00F720C6">
        <w:rPr>
          <w:i/>
          <w:sz w:val="24"/>
          <w:szCs w:val="24"/>
          <w:lang w:val="en-US"/>
        </w:rPr>
        <w:t>affectio</w:t>
      </w:r>
      <w:proofErr w:type="spellEnd"/>
      <w:r w:rsidR="00AD1CE7">
        <w:rPr>
          <w:i/>
          <w:sz w:val="24"/>
          <w:szCs w:val="24"/>
          <w:lang w:val="en-US"/>
        </w:rPr>
        <w:t xml:space="preserve"> </w:t>
      </w:r>
      <w:proofErr w:type="spellStart"/>
      <w:r w:rsidR="00AD1CE7">
        <w:rPr>
          <w:i/>
          <w:sz w:val="24"/>
          <w:szCs w:val="24"/>
          <w:lang w:val="en-US"/>
        </w:rPr>
        <w:t>societatis</w:t>
      </w:r>
      <w:proofErr w:type="spellEnd"/>
      <w:r w:rsidR="00AD1CE7">
        <w:rPr>
          <w:sz w:val="24"/>
          <w:szCs w:val="24"/>
          <w:lang w:val="en-US"/>
        </w:rPr>
        <w:t xml:space="preserve">, without which the presumed belligerent </w:t>
      </w:r>
      <w:r w:rsidR="00A54259">
        <w:rPr>
          <w:sz w:val="24"/>
          <w:szCs w:val="24"/>
          <w:lang w:val="en-US"/>
        </w:rPr>
        <w:t>climate</w:t>
      </w:r>
      <w:r w:rsidR="00AD1CE7">
        <w:rPr>
          <w:sz w:val="24"/>
          <w:szCs w:val="24"/>
          <w:lang w:val="en-US"/>
        </w:rPr>
        <w:t xml:space="preserve"> among the shareholders militates against the preservation of the enterprise, becoming an obstacle to its corporate purpose,</w:t>
      </w:r>
      <w:r w:rsidR="00051DA8">
        <w:rPr>
          <w:sz w:val="24"/>
          <w:szCs w:val="24"/>
          <w:lang w:val="en-US"/>
        </w:rPr>
        <w:t xml:space="preserve"> which will not be fulfilled.”</w:t>
      </w:r>
      <w:r w:rsidR="00096C55">
        <w:rPr>
          <w:rStyle w:val="Refdenotaderodap"/>
          <w:sz w:val="24"/>
          <w:szCs w:val="24"/>
          <w:lang w:val="en-US"/>
        </w:rPr>
        <w:footnoteReference w:id="71"/>
      </w:r>
      <w:r w:rsidR="00051DA8">
        <w:rPr>
          <w:sz w:val="24"/>
          <w:szCs w:val="24"/>
          <w:lang w:val="en-US"/>
        </w:rPr>
        <w:t xml:space="preserve"> </w:t>
      </w:r>
    </w:p>
    <w:p w:rsidR="00070341" w:rsidRDefault="00070341" w:rsidP="00260800">
      <w:pPr>
        <w:autoSpaceDE w:val="0"/>
        <w:autoSpaceDN w:val="0"/>
        <w:adjustRightInd w:val="0"/>
        <w:spacing w:after="0"/>
        <w:jc w:val="both"/>
        <w:rPr>
          <w:sz w:val="24"/>
          <w:szCs w:val="24"/>
          <w:lang w:val="en-US"/>
        </w:rPr>
      </w:pPr>
    </w:p>
    <w:p w:rsidR="00FB29A9" w:rsidRDefault="00826598" w:rsidP="00FC633D">
      <w:pPr>
        <w:autoSpaceDE w:val="0"/>
        <w:autoSpaceDN w:val="0"/>
        <w:adjustRightInd w:val="0"/>
        <w:spacing w:after="0"/>
        <w:jc w:val="both"/>
        <w:rPr>
          <w:sz w:val="24"/>
          <w:szCs w:val="24"/>
          <w:lang w:val="en-US"/>
        </w:rPr>
      </w:pPr>
      <w:r>
        <w:rPr>
          <w:sz w:val="24"/>
          <w:szCs w:val="24"/>
          <w:lang w:val="en-US"/>
        </w:rPr>
        <w:tab/>
      </w:r>
      <w:r w:rsidR="00260800">
        <w:rPr>
          <w:sz w:val="24"/>
          <w:szCs w:val="24"/>
          <w:lang w:val="en-US"/>
        </w:rPr>
        <w:t xml:space="preserve">Prior to reaching the STJ, the Court of Appeals of the State of São Paulo </w:t>
      </w:r>
      <w:r w:rsidR="003B15D5">
        <w:rPr>
          <w:sz w:val="24"/>
          <w:szCs w:val="24"/>
          <w:lang w:val="en-US"/>
        </w:rPr>
        <w:t xml:space="preserve">(TJSP) </w:t>
      </w:r>
      <w:r w:rsidR="0049189F">
        <w:rPr>
          <w:sz w:val="24"/>
          <w:szCs w:val="24"/>
          <w:lang w:val="en-US"/>
        </w:rPr>
        <w:t xml:space="preserve">had </w:t>
      </w:r>
      <w:r w:rsidR="00260800">
        <w:rPr>
          <w:sz w:val="24"/>
          <w:szCs w:val="24"/>
          <w:lang w:val="en-US"/>
        </w:rPr>
        <w:t xml:space="preserve">decided this case in a split decision that highlighted the stronger arguments for both sides. The majority, which granted the request for dissolution, </w:t>
      </w:r>
      <w:r w:rsidR="000E1F92">
        <w:rPr>
          <w:sz w:val="24"/>
          <w:szCs w:val="24"/>
          <w:lang w:val="en-US"/>
        </w:rPr>
        <w:t xml:space="preserve">went as far relying on the constitutional protection of freedom of association, which </w:t>
      </w:r>
      <w:proofErr w:type="gramStart"/>
      <w:r w:rsidR="000E1F92">
        <w:rPr>
          <w:sz w:val="24"/>
          <w:szCs w:val="24"/>
          <w:lang w:val="en-US"/>
        </w:rPr>
        <w:t>provided that</w:t>
      </w:r>
      <w:proofErr w:type="gramEnd"/>
      <w:r w:rsidR="000E1F92">
        <w:rPr>
          <w:sz w:val="24"/>
          <w:szCs w:val="24"/>
          <w:lang w:val="en-US"/>
        </w:rPr>
        <w:t xml:space="preserve"> no one may be compelled to associate or to remain associated (Brazilian constitution, </w:t>
      </w:r>
      <w:r w:rsidR="003B15D5">
        <w:rPr>
          <w:sz w:val="24"/>
          <w:szCs w:val="24"/>
          <w:lang w:val="en-US"/>
        </w:rPr>
        <w:t xml:space="preserve">Art. </w:t>
      </w:r>
      <w:r w:rsidR="000E1F92">
        <w:rPr>
          <w:sz w:val="24"/>
          <w:szCs w:val="24"/>
          <w:lang w:val="en-US"/>
        </w:rPr>
        <w:t xml:space="preserve">5, XX). The dissenting opinion, by contrast, </w:t>
      </w:r>
      <w:r w:rsidR="002D38B1">
        <w:rPr>
          <w:sz w:val="24"/>
          <w:szCs w:val="24"/>
          <w:lang w:val="en-US"/>
        </w:rPr>
        <w:t xml:space="preserve">emphasized that the company in question began as a </w:t>
      </w:r>
      <w:proofErr w:type="spellStart"/>
      <w:r w:rsidR="002D38B1">
        <w:rPr>
          <w:i/>
          <w:sz w:val="24"/>
          <w:szCs w:val="24"/>
          <w:lang w:val="en-US"/>
        </w:rPr>
        <w:t>limitada</w:t>
      </w:r>
      <w:proofErr w:type="spellEnd"/>
      <w:r w:rsidR="002D38B1">
        <w:rPr>
          <w:i/>
          <w:sz w:val="24"/>
          <w:szCs w:val="24"/>
          <w:lang w:val="en-US"/>
        </w:rPr>
        <w:t xml:space="preserve"> </w:t>
      </w:r>
      <w:r w:rsidR="002D38B1">
        <w:rPr>
          <w:sz w:val="24"/>
          <w:szCs w:val="24"/>
          <w:lang w:val="en-US"/>
        </w:rPr>
        <w:t>and later converted to a corporation when it received non</w:t>
      </w:r>
      <w:r w:rsidR="008D51B3">
        <w:rPr>
          <w:sz w:val="24"/>
          <w:szCs w:val="24"/>
          <w:lang w:val="en-US"/>
        </w:rPr>
        <w:t xml:space="preserve">-family shareholders precisely </w:t>
      </w:r>
      <w:r w:rsidR="00CA6748">
        <w:rPr>
          <w:sz w:val="24"/>
          <w:szCs w:val="24"/>
          <w:lang w:val="en-US"/>
        </w:rPr>
        <w:t xml:space="preserve">to </w:t>
      </w:r>
      <w:r w:rsidR="00AE0355">
        <w:rPr>
          <w:sz w:val="24"/>
          <w:szCs w:val="24"/>
          <w:lang w:val="en-US"/>
        </w:rPr>
        <w:t>protect the firm from</w:t>
      </w:r>
      <w:r w:rsidR="00CA6748">
        <w:rPr>
          <w:sz w:val="24"/>
          <w:szCs w:val="24"/>
          <w:lang w:val="en-US"/>
        </w:rPr>
        <w:t xml:space="preserve"> disputes among heirs</w:t>
      </w:r>
      <w:r w:rsidR="008D51B3">
        <w:rPr>
          <w:sz w:val="24"/>
          <w:szCs w:val="24"/>
          <w:lang w:val="en-US"/>
        </w:rPr>
        <w:t xml:space="preserve">. </w:t>
      </w:r>
      <w:r w:rsidR="00DF3F9D">
        <w:rPr>
          <w:sz w:val="24"/>
          <w:szCs w:val="24"/>
          <w:lang w:val="en-US"/>
        </w:rPr>
        <w:t>It concluded by denying the request for partial dissolution given that the company was lucrative and was fulfilling its purpose, “which is not to maintain harmony among the descendants of the founder.”</w:t>
      </w:r>
      <w:r w:rsidR="002625DA">
        <w:rPr>
          <w:rStyle w:val="Refdenotaderodap"/>
          <w:sz w:val="24"/>
          <w:szCs w:val="24"/>
          <w:lang w:val="en-US"/>
        </w:rPr>
        <w:footnoteReference w:id="72"/>
      </w:r>
    </w:p>
    <w:p w:rsidR="00FC633D" w:rsidRPr="00FC633D" w:rsidRDefault="00FC633D" w:rsidP="00FC633D">
      <w:pPr>
        <w:autoSpaceDE w:val="0"/>
        <w:autoSpaceDN w:val="0"/>
        <w:adjustRightInd w:val="0"/>
        <w:spacing w:after="0"/>
        <w:jc w:val="both"/>
        <w:rPr>
          <w:sz w:val="24"/>
          <w:szCs w:val="24"/>
          <w:lang w:val="en-US"/>
        </w:rPr>
      </w:pPr>
    </w:p>
    <w:p w:rsidR="008219D4" w:rsidRDefault="00947BC8" w:rsidP="00260800">
      <w:pPr>
        <w:ind w:firstLine="705"/>
        <w:jc w:val="both"/>
        <w:rPr>
          <w:rFonts w:cs="Times New Roman"/>
          <w:sz w:val="24"/>
          <w:szCs w:val="24"/>
          <w:lang w:val="en-US"/>
        </w:rPr>
      </w:pPr>
      <w:r>
        <w:rPr>
          <w:rFonts w:cs="Times New Roman"/>
          <w:sz w:val="24"/>
          <w:szCs w:val="24"/>
          <w:lang w:val="en-US"/>
        </w:rPr>
        <w:t xml:space="preserve">Since these landmark decisions, the absence of </w:t>
      </w:r>
      <w:r w:rsidR="005D0B7B">
        <w:rPr>
          <w:rFonts w:cs="Times New Roman"/>
          <w:sz w:val="24"/>
          <w:szCs w:val="24"/>
          <w:lang w:val="en-US"/>
        </w:rPr>
        <w:t>lock-in</w:t>
      </w:r>
      <w:r w:rsidR="00261F6D">
        <w:rPr>
          <w:rFonts w:cs="Times New Roman"/>
          <w:sz w:val="24"/>
          <w:szCs w:val="24"/>
          <w:lang w:val="en-US"/>
        </w:rPr>
        <w:t xml:space="preserve"> in</w:t>
      </w:r>
      <w:r>
        <w:rPr>
          <w:rFonts w:cs="Times New Roman"/>
          <w:sz w:val="24"/>
          <w:szCs w:val="24"/>
          <w:lang w:val="en-US"/>
        </w:rPr>
        <w:t xml:space="preserve"> close corporations ceased to be controversial. A </w:t>
      </w:r>
      <w:r w:rsidR="00DE0BBB">
        <w:rPr>
          <w:rFonts w:cs="Times New Roman"/>
          <w:sz w:val="24"/>
          <w:szCs w:val="24"/>
          <w:lang w:val="en-US"/>
        </w:rPr>
        <w:t>search</w:t>
      </w:r>
      <w:r>
        <w:rPr>
          <w:rFonts w:cs="Times New Roman"/>
          <w:sz w:val="24"/>
          <w:szCs w:val="24"/>
          <w:lang w:val="en-US"/>
        </w:rPr>
        <w:t xml:space="preserve"> of cases on this topic in the STJ and in the </w:t>
      </w:r>
      <w:r w:rsidR="003B15D5">
        <w:rPr>
          <w:rFonts w:cs="Times New Roman"/>
          <w:sz w:val="24"/>
          <w:szCs w:val="24"/>
          <w:lang w:val="en-US"/>
        </w:rPr>
        <w:t>TJSP</w:t>
      </w:r>
      <w:r>
        <w:rPr>
          <w:rFonts w:cs="Times New Roman"/>
          <w:sz w:val="24"/>
          <w:szCs w:val="24"/>
          <w:lang w:val="en-US"/>
        </w:rPr>
        <w:t xml:space="preserve"> (which is Brazil largest and most relevant state court for commercial matters)</w:t>
      </w:r>
      <w:r w:rsidR="0049189F">
        <w:rPr>
          <w:rFonts w:cs="Times New Roman"/>
          <w:sz w:val="24"/>
          <w:szCs w:val="24"/>
          <w:lang w:val="en-US"/>
        </w:rPr>
        <w:t xml:space="preserve"> shows that all decisions</w:t>
      </w:r>
      <w:r>
        <w:rPr>
          <w:rFonts w:cs="Times New Roman"/>
          <w:sz w:val="24"/>
          <w:szCs w:val="24"/>
          <w:lang w:val="en-US"/>
        </w:rPr>
        <w:t xml:space="preserve"> </w:t>
      </w:r>
      <w:r w:rsidR="00392479">
        <w:rPr>
          <w:rFonts w:cs="Times New Roman"/>
          <w:sz w:val="24"/>
          <w:szCs w:val="24"/>
          <w:lang w:val="en-US"/>
        </w:rPr>
        <w:t xml:space="preserve">since 2008 </w:t>
      </w:r>
      <w:r w:rsidR="00991C80">
        <w:rPr>
          <w:rFonts w:cs="Times New Roman"/>
          <w:sz w:val="24"/>
          <w:szCs w:val="24"/>
          <w:lang w:val="en-US"/>
        </w:rPr>
        <w:t>have</w:t>
      </w:r>
      <w:r>
        <w:rPr>
          <w:rFonts w:cs="Times New Roman"/>
          <w:sz w:val="24"/>
          <w:szCs w:val="24"/>
          <w:lang w:val="en-US"/>
        </w:rPr>
        <w:t xml:space="preserve"> recognized the right of shareholders in </w:t>
      </w:r>
      <w:proofErr w:type="gramStart"/>
      <w:r>
        <w:rPr>
          <w:rFonts w:cs="Times New Roman"/>
          <w:sz w:val="24"/>
          <w:szCs w:val="24"/>
          <w:lang w:val="en-US"/>
        </w:rPr>
        <w:t>closely-held</w:t>
      </w:r>
      <w:proofErr w:type="gramEnd"/>
      <w:r>
        <w:rPr>
          <w:rFonts w:cs="Times New Roman"/>
          <w:sz w:val="24"/>
          <w:szCs w:val="24"/>
          <w:lang w:val="en-US"/>
        </w:rPr>
        <w:t xml:space="preserve"> firms to withdraw at will. </w:t>
      </w:r>
      <w:r w:rsidR="0049189F">
        <w:rPr>
          <w:rFonts w:cs="Times New Roman"/>
          <w:sz w:val="24"/>
          <w:szCs w:val="24"/>
          <w:lang w:val="en-US"/>
        </w:rPr>
        <w:t>Moreover</w:t>
      </w:r>
      <w:r w:rsidR="00D93794">
        <w:rPr>
          <w:rFonts w:cs="Times New Roman"/>
          <w:sz w:val="24"/>
          <w:szCs w:val="24"/>
          <w:lang w:val="en-US"/>
        </w:rPr>
        <w:t xml:space="preserve">, Brazil’s new Code of Civil Procedure of 2015 </w:t>
      </w:r>
      <w:r w:rsidR="007714CF">
        <w:rPr>
          <w:rFonts w:cs="Times New Roman"/>
          <w:sz w:val="24"/>
          <w:szCs w:val="24"/>
          <w:lang w:val="en-US"/>
        </w:rPr>
        <w:t>now explicitly alludes to the partial dissolution of close corporations that cannot fulfill their purpose.</w:t>
      </w:r>
      <w:r w:rsidR="00D06BB9">
        <w:rPr>
          <w:rStyle w:val="Refdenotaderodap"/>
          <w:rFonts w:cs="Times New Roman"/>
          <w:sz w:val="24"/>
          <w:szCs w:val="24"/>
          <w:lang w:val="en-US"/>
        </w:rPr>
        <w:footnoteReference w:id="73"/>
      </w:r>
      <w:r w:rsidR="007714CF">
        <w:rPr>
          <w:rFonts w:cs="Times New Roman"/>
          <w:sz w:val="24"/>
          <w:szCs w:val="24"/>
          <w:lang w:val="en-US"/>
        </w:rPr>
        <w:t xml:space="preserve"> </w:t>
      </w:r>
      <w:r w:rsidR="0033177B">
        <w:rPr>
          <w:rFonts w:cs="Times New Roman"/>
          <w:sz w:val="24"/>
          <w:szCs w:val="24"/>
          <w:lang w:val="en-US"/>
        </w:rPr>
        <w:t>Th</w:t>
      </w:r>
      <w:r w:rsidR="00D904BD">
        <w:rPr>
          <w:rFonts w:cs="Times New Roman"/>
          <w:sz w:val="24"/>
          <w:szCs w:val="24"/>
          <w:lang w:val="en-US"/>
        </w:rPr>
        <w:t>is provision,</w:t>
      </w:r>
      <w:r w:rsidR="0033177B">
        <w:rPr>
          <w:rFonts w:cs="Times New Roman"/>
          <w:sz w:val="24"/>
          <w:szCs w:val="24"/>
          <w:lang w:val="en-US"/>
        </w:rPr>
        <w:t xml:space="preserve"> as well as the </w:t>
      </w:r>
      <w:proofErr w:type="spellStart"/>
      <w:r w:rsidR="0033177B">
        <w:rPr>
          <w:rFonts w:cs="Times New Roman"/>
          <w:sz w:val="24"/>
          <w:szCs w:val="24"/>
          <w:lang w:val="en-US"/>
        </w:rPr>
        <w:t>caselaw</w:t>
      </w:r>
      <w:proofErr w:type="spellEnd"/>
      <w:r w:rsidR="0033177B">
        <w:rPr>
          <w:rFonts w:cs="Times New Roman"/>
          <w:sz w:val="24"/>
          <w:szCs w:val="24"/>
          <w:lang w:val="en-US"/>
        </w:rPr>
        <w:t xml:space="preserve"> which inspired it,</w:t>
      </w:r>
      <w:r w:rsidR="00D904BD">
        <w:rPr>
          <w:rFonts w:cs="Times New Roman"/>
          <w:sz w:val="24"/>
          <w:szCs w:val="24"/>
          <w:lang w:val="en-US"/>
        </w:rPr>
        <w:t xml:space="preserve"> creates the awkward </w:t>
      </w:r>
      <w:r w:rsidR="00465842">
        <w:rPr>
          <w:rFonts w:cs="Times New Roman"/>
          <w:sz w:val="24"/>
          <w:szCs w:val="24"/>
          <w:lang w:val="en-US"/>
        </w:rPr>
        <w:lastRenderedPageBreak/>
        <w:t xml:space="preserve">doctrinal </w:t>
      </w:r>
      <w:r w:rsidR="0033177B">
        <w:rPr>
          <w:rFonts w:cs="Times New Roman"/>
          <w:sz w:val="24"/>
          <w:szCs w:val="24"/>
          <w:lang w:val="en-US"/>
        </w:rPr>
        <w:t>construction</w:t>
      </w:r>
      <w:r w:rsidR="00D904BD">
        <w:rPr>
          <w:rFonts w:cs="Times New Roman"/>
          <w:sz w:val="24"/>
          <w:szCs w:val="24"/>
          <w:lang w:val="en-US"/>
        </w:rPr>
        <w:t xml:space="preserve"> in which a corporation that </w:t>
      </w:r>
      <w:proofErr w:type="gramStart"/>
      <w:r w:rsidR="00D904BD">
        <w:rPr>
          <w:rFonts w:cs="Times New Roman"/>
          <w:sz w:val="24"/>
          <w:szCs w:val="24"/>
          <w:lang w:val="en-US"/>
        </w:rPr>
        <w:t>is deemed</w:t>
      </w:r>
      <w:proofErr w:type="gramEnd"/>
      <w:r w:rsidR="00D904BD">
        <w:rPr>
          <w:rFonts w:cs="Times New Roman"/>
          <w:sz w:val="24"/>
          <w:szCs w:val="24"/>
          <w:lang w:val="en-US"/>
        </w:rPr>
        <w:t xml:space="preserve"> not to fulfill its purpose is</w:t>
      </w:r>
      <w:r w:rsidR="007909C2">
        <w:rPr>
          <w:rFonts w:cs="Times New Roman"/>
          <w:sz w:val="24"/>
          <w:szCs w:val="24"/>
          <w:lang w:val="en-US"/>
        </w:rPr>
        <w:t xml:space="preserve"> nevertheless</w:t>
      </w:r>
      <w:r w:rsidR="00D904BD">
        <w:rPr>
          <w:rFonts w:cs="Times New Roman"/>
          <w:sz w:val="24"/>
          <w:szCs w:val="24"/>
          <w:lang w:val="en-US"/>
        </w:rPr>
        <w:t xml:space="preserve"> allowed to subsist</w:t>
      </w:r>
      <w:r w:rsidR="00000560">
        <w:rPr>
          <w:rFonts w:cs="Times New Roman"/>
          <w:sz w:val="24"/>
          <w:szCs w:val="24"/>
          <w:lang w:val="en-US"/>
        </w:rPr>
        <w:t xml:space="preserve">. </w:t>
      </w:r>
      <w:r w:rsidR="00FB035B">
        <w:rPr>
          <w:sz w:val="24"/>
          <w:szCs w:val="24"/>
          <w:lang w:val="en-US"/>
        </w:rPr>
        <w:t>A proposed bill to institute a “simplified corporation” under Brazilian law</w:t>
      </w:r>
      <w:r w:rsidR="00736AC0">
        <w:rPr>
          <w:sz w:val="24"/>
          <w:szCs w:val="24"/>
          <w:lang w:val="en-US"/>
        </w:rPr>
        <w:t>, with the goal of reducing the formalities to establish and run a business corporation,</w:t>
      </w:r>
      <w:r w:rsidR="00FB035B">
        <w:rPr>
          <w:sz w:val="24"/>
          <w:szCs w:val="24"/>
          <w:lang w:val="en-US"/>
        </w:rPr>
        <w:t xml:space="preserve"> would grant shareholders the unconditional right to withdraw at any time as a default rule—a </w:t>
      </w:r>
      <w:r w:rsidR="00736AC0">
        <w:rPr>
          <w:sz w:val="24"/>
          <w:szCs w:val="24"/>
          <w:lang w:val="en-US"/>
        </w:rPr>
        <w:t>mechanism</w:t>
      </w:r>
      <w:r w:rsidR="00FB035B">
        <w:rPr>
          <w:sz w:val="24"/>
          <w:szCs w:val="24"/>
          <w:lang w:val="en-US"/>
        </w:rPr>
        <w:t xml:space="preserve"> that is absent from foreign precedents of simplified corporation statutes.</w:t>
      </w:r>
      <w:r w:rsidR="00FB035B">
        <w:rPr>
          <w:rStyle w:val="Refdenotaderodap"/>
          <w:sz w:val="24"/>
          <w:szCs w:val="24"/>
          <w:lang w:val="en-US"/>
        </w:rPr>
        <w:footnoteReference w:id="74"/>
      </w:r>
    </w:p>
    <w:p w:rsidR="0078111C" w:rsidRDefault="00D3452D" w:rsidP="002D4916">
      <w:pPr>
        <w:ind w:firstLine="720"/>
        <w:jc w:val="both"/>
        <w:rPr>
          <w:sz w:val="24"/>
          <w:szCs w:val="24"/>
          <w:lang w:val="en-US"/>
        </w:rPr>
      </w:pPr>
      <w:r>
        <w:rPr>
          <w:sz w:val="24"/>
          <w:szCs w:val="24"/>
          <w:lang w:val="en-US"/>
        </w:rPr>
        <w:t>Beyond</w:t>
      </w:r>
      <w:r w:rsidR="00C83444" w:rsidRPr="00C83444">
        <w:rPr>
          <w:sz w:val="24"/>
          <w:szCs w:val="24"/>
          <w:lang w:val="en-US"/>
        </w:rPr>
        <w:t xml:space="preserve"> the now traditional claims for </w:t>
      </w:r>
      <w:r w:rsidR="00C83444">
        <w:rPr>
          <w:sz w:val="24"/>
          <w:szCs w:val="24"/>
          <w:lang w:val="en-US"/>
        </w:rPr>
        <w:t xml:space="preserve">partial dissolution by minority shareholders, Brazilian courts have weakened lock-in in another way: by granting </w:t>
      </w:r>
      <w:r w:rsidR="00C83444" w:rsidRPr="00496F67">
        <w:rPr>
          <w:sz w:val="24"/>
          <w:szCs w:val="24"/>
          <w:lang w:val="en-US"/>
        </w:rPr>
        <w:t xml:space="preserve">requests for </w:t>
      </w:r>
      <w:r w:rsidR="001E4A61" w:rsidRPr="00496F67">
        <w:rPr>
          <w:sz w:val="24"/>
          <w:szCs w:val="24"/>
          <w:lang w:val="en-US"/>
        </w:rPr>
        <w:t xml:space="preserve">expulsion </w:t>
      </w:r>
      <w:r w:rsidR="00C83444" w:rsidRPr="00496F67">
        <w:rPr>
          <w:sz w:val="24"/>
          <w:szCs w:val="24"/>
          <w:lang w:val="en-US"/>
        </w:rPr>
        <w:t xml:space="preserve">of shareholders that are harming the company’s operations. </w:t>
      </w:r>
      <w:r w:rsidR="00496F67" w:rsidRPr="00496F67">
        <w:rPr>
          <w:sz w:val="24"/>
          <w:szCs w:val="24"/>
          <w:lang w:val="en-US"/>
        </w:rPr>
        <w:t>Unlike dissolution, claims for exclusion are subj</w:t>
      </w:r>
      <w:r w:rsidR="00496F67">
        <w:rPr>
          <w:sz w:val="24"/>
          <w:szCs w:val="24"/>
          <w:lang w:val="en-US"/>
        </w:rPr>
        <w:t>ect to more exacting standards: t</w:t>
      </w:r>
      <w:r w:rsidR="00661B57">
        <w:rPr>
          <w:sz w:val="24"/>
          <w:szCs w:val="24"/>
          <w:lang w:val="en-US"/>
        </w:rPr>
        <w:t xml:space="preserve">he remaining shareholders </w:t>
      </w:r>
      <w:r w:rsidR="00496F67">
        <w:rPr>
          <w:sz w:val="24"/>
          <w:szCs w:val="24"/>
          <w:lang w:val="en-US"/>
        </w:rPr>
        <w:t>must</w:t>
      </w:r>
      <w:r w:rsidR="00661B57">
        <w:rPr>
          <w:sz w:val="24"/>
          <w:szCs w:val="24"/>
          <w:lang w:val="en-US"/>
        </w:rPr>
        <w:t xml:space="preserve"> show wrongdoing by the </w:t>
      </w:r>
      <w:r w:rsidR="00E61FD0">
        <w:rPr>
          <w:sz w:val="24"/>
          <w:szCs w:val="24"/>
          <w:lang w:val="en-US"/>
        </w:rPr>
        <w:t>shareholder they want</w:t>
      </w:r>
      <w:r w:rsidR="00496F67">
        <w:rPr>
          <w:sz w:val="24"/>
          <w:szCs w:val="24"/>
          <w:lang w:val="en-US"/>
        </w:rPr>
        <w:t xml:space="preserve"> to expel</w:t>
      </w:r>
      <w:r w:rsidR="00E61FD0">
        <w:rPr>
          <w:sz w:val="24"/>
          <w:szCs w:val="24"/>
          <w:lang w:val="en-US"/>
        </w:rPr>
        <w:t>.</w:t>
      </w:r>
      <w:r w:rsidR="000430E3">
        <w:rPr>
          <w:sz w:val="24"/>
          <w:szCs w:val="24"/>
          <w:lang w:val="en-US"/>
        </w:rPr>
        <w:t xml:space="preserve"> </w:t>
      </w:r>
      <w:r w:rsidR="000430E3" w:rsidRPr="00643425">
        <w:rPr>
          <w:sz w:val="24"/>
          <w:szCs w:val="24"/>
          <w:lang w:val="en-US"/>
        </w:rPr>
        <w:t xml:space="preserve">As the STJ put it, </w:t>
      </w:r>
      <w:r w:rsidR="00643425" w:rsidRPr="00643425">
        <w:rPr>
          <w:sz w:val="24"/>
          <w:szCs w:val="24"/>
          <w:lang w:val="en-US"/>
        </w:rPr>
        <w:t>“exclusion is a</w:t>
      </w:r>
      <w:r w:rsidR="00643425">
        <w:rPr>
          <w:sz w:val="24"/>
          <w:szCs w:val="24"/>
          <w:lang w:val="en-US"/>
        </w:rPr>
        <w:t>n</w:t>
      </w:r>
      <w:r w:rsidR="00643425" w:rsidRPr="00643425">
        <w:rPr>
          <w:sz w:val="24"/>
          <w:szCs w:val="24"/>
          <w:lang w:val="en-US"/>
        </w:rPr>
        <w:t xml:space="preserve"> e</w:t>
      </w:r>
      <w:r w:rsidR="00643425">
        <w:rPr>
          <w:sz w:val="24"/>
          <w:szCs w:val="24"/>
          <w:lang w:val="en-US"/>
        </w:rPr>
        <w:t>xtreme measure in view of the efficiency of the enterprise’s activities, for which it becomes necessary to expunge the shareholder that brings about harm or the possibility of grave harm to the firm, being indispensable the existence of proof of just cause.”</w:t>
      </w:r>
      <w:r w:rsidR="008E36AB">
        <w:rPr>
          <w:rStyle w:val="Refdenotaderodap"/>
          <w:sz w:val="24"/>
          <w:szCs w:val="24"/>
          <w:lang w:val="en-US"/>
        </w:rPr>
        <w:footnoteReference w:id="75"/>
      </w:r>
      <w:r w:rsidR="00643425">
        <w:rPr>
          <w:sz w:val="24"/>
          <w:szCs w:val="24"/>
          <w:lang w:val="en-US"/>
        </w:rPr>
        <w:t xml:space="preserve"> </w:t>
      </w:r>
    </w:p>
    <w:p w:rsidR="006D6E1E" w:rsidRDefault="00E70107" w:rsidP="004F04C8">
      <w:pPr>
        <w:ind w:firstLine="720"/>
        <w:jc w:val="both"/>
        <w:rPr>
          <w:sz w:val="24"/>
          <w:szCs w:val="24"/>
          <w:lang w:val="en-US"/>
        </w:rPr>
      </w:pPr>
      <w:r>
        <w:rPr>
          <w:sz w:val="24"/>
          <w:szCs w:val="24"/>
          <w:lang w:val="en-US"/>
        </w:rPr>
        <w:t>Yet r</w:t>
      </w:r>
      <w:r w:rsidR="007F2A4D">
        <w:rPr>
          <w:sz w:val="24"/>
          <w:szCs w:val="24"/>
          <w:lang w:val="en-US"/>
        </w:rPr>
        <w:t xml:space="preserve">equests for exclusion and partial dissolution have the same consequence: the termination of </w:t>
      </w:r>
      <w:r>
        <w:rPr>
          <w:sz w:val="24"/>
          <w:szCs w:val="24"/>
          <w:lang w:val="en-US"/>
        </w:rPr>
        <w:t>shareholder</w:t>
      </w:r>
      <w:r w:rsidR="007F2A4D">
        <w:rPr>
          <w:sz w:val="24"/>
          <w:szCs w:val="24"/>
          <w:lang w:val="en-US"/>
        </w:rPr>
        <w:t xml:space="preserve"> status </w:t>
      </w:r>
      <w:r w:rsidR="00F346AF">
        <w:rPr>
          <w:sz w:val="24"/>
          <w:szCs w:val="24"/>
          <w:lang w:val="en-US"/>
        </w:rPr>
        <w:t>and</w:t>
      </w:r>
      <w:r w:rsidR="007F2A4D">
        <w:rPr>
          <w:sz w:val="24"/>
          <w:szCs w:val="24"/>
          <w:lang w:val="en-US"/>
        </w:rPr>
        <w:t xml:space="preserve"> the withdrawal of a proportionate share of the corporation’s assets.</w:t>
      </w:r>
      <w:r w:rsidR="00C21C02">
        <w:rPr>
          <w:sz w:val="24"/>
          <w:szCs w:val="24"/>
          <w:lang w:val="en-US"/>
        </w:rPr>
        <w:t xml:space="preserve"> </w:t>
      </w:r>
      <w:r w:rsidR="005D6729">
        <w:rPr>
          <w:sz w:val="24"/>
          <w:szCs w:val="24"/>
          <w:lang w:val="en-US"/>
        </w:rPr>
        <w:t xml:space="preserve">To be sure, the </w:t>
      </w:r>
      <w:r w:rsidR="00D70537">
        <w:rPr>
          <w:sz w:val="24"/>
          <w:szCs w:val="24"/>
          <w:lang w:val="en-US"/>
        </w:rPr>
        <w:t xml:space="preserve">draconian </w:t>
      </w:r>
      <w:r w:rsidR="005D6729">
        <w:rPr>
          <w:sz w:val="24"/>
          <w:szCs w:val="24"/>
          <w:lang w:val="en-US"/>
        </w:rPr>
        <w:t xml:space="preserve">remedy </w:t>
      </w:r>
      <w:r w:rsidR="00B13882">
        <w:rPr>
          <w:sz w:val="24"/>
          <w:szCs w:val="24"/>
          <w:lang w:val="en-US"/>
        </w:rPr>
        <w:t>of</w:t>
      </w:r>
      <w:r w:rsidR="005D6729">
        <w:rPr>
          <w:sz w:val="24"/>
          <w:szCs w:val="24"/>
          <w:lang w:val="en-US"/>
        </w:rPr>
        <w:t xml:space="preserve"> exclusion </w:t>
      </w:r>
      <w:r w:rsidR="00D70537">
        <w:rPr>
          <w:sz w:val="24"/>
          <w:szCs w:val="24"/>
          <w:lang w:val="en-US"/>
        </w:rPr>
        <w:t>is also available in other jurisdictions, though only in exceptional circumstances</w:t>
      </w:r>
      <w:r w:rsidR="00496F67">
        <w:rPr>
          <w:sz w:val="24"/>
          <w:szCs w:val="24"/>
          <w:lang w:val="en-US"/>
        </w:rPr>
        <w:t>.</w:t>
      </w:r>
      <w:r w:rsidR="00496F67">
        <w:rPr>
          <w:rStyle w:val="Refdenotaderodap"/>
          <w:sz w:val="24"/>
          <w:szCs w:val="24"/>
          <w:lang w:val="en-US"/>
        </w:rPr>
        <w:footnoteReference w:id="76"/>
      </w:r>
      <w:r w:rsidR="00496F67">
        <w:rPr>
          <w:sz w:val="24"/>
          <w:szCs w:val="24"/>
          <w:lang w:val="en-US"/>
        </w:rPr>
        <w:t xml:space="preserve"> </w:t>
      </w:r>
      <w:r w:rsidR="00A4346C">
        <w:rPr>
          <w:sz w:val="24"/>
          <w:szCs w:val="24"/>
          <w:lang w:val="en-US"/>
        </w:rPr>
        <w:t xml:space="preserve">The corporate form’s attribute of delegated management </w:t>
      </w:r>
      <w:r w:rsidR="00CC49FB">
        <w:rPr>
          <w:sz w:val="24"/>
          <w:szCs w:val="24"/>
          <w:lang w:val="en-US"/>
        </w:rPr>
        <w:t xml:space="preserve">generally </w:t>
      </w:r>
      <w:r w:rsidR="00A4346C">
        <w:rPr>
          <w:sz w:val="24"/>
          <w:szCs w:val="24"/>
          <w:lang w:val="en-US"/>
        </w:rPr>
        <w:t>means that only controlling shareholders have duties to the firm</w:t>
      </w:r>
      <w:r w:rsidR="00B21C73">
        <w:rPr>
          <w:sz w:val="24"/>
          <w:szCs w:val="24"/>
          <w:lang w:val="en-US"/>
        </w:rPr>
        <w:t>.</w:t>
      </w:r>
      <w:r w:rsidR="00C008D6">
        <w:rPr>
          <w:rStyle w:val="Refdenotaderodap"/>
          <w:sz w:val="24"/>
          <w:szCs w:val="24"/>
          <w:lang w:val="en-US"/>
        </w:rPr>
        <w:footnoteReference w:id="77"/>
      </w:r>
      <w:r w:rsidR="00155339">
        <w:rPr>
          <w:sz w:val="24"/>
          <w:szCs w:val="24"/>
          <w:lang w:val="en-US"/>
        </w:rPr>
        <w:t xml:space="preserve"> </w:t>
      </w:r>
      <w:r w:rsidR="001F572E">
        <w:rPr>
          <w:sz w:val="24"/>
          <w:szCs w:val="24"/>
          <w:lang w:val="en-US"/>
        </w:rPr>
        <w:t xml:space="preserve">Moreover, the typical </w:t>
      </w:r>
      <w:r w:rsidR="00155339">
        <w:rPr>
          <w:sz w:val="24"/>
          <w:szCs w:val="24"/>
          <w:lang w:val="en-US"/>
        </w:rPr>
        <w:t xml:space="preserve">remedies for breach of </w:t>
      </w:r>
      <w:r w:rsidR="001F572E">
        <w:rPr>
          <w:sz w:val="24"/>
          <w:szCs w:val="24"/>
          <w:lang w:val="en-US"/>
        </w:rPr>
        <w:t>shareholder</w:t>
      </w:r>
      <w:r w:rsidR="00155339">
        <w:rPr>
          <w:sz w:val="24"/>
          <w:szCs w:val="24"/>
          <w:lang w:val="en-US"/>
        </w:rPr>
        <w:t xml:space="preserve"> duties is liability</w:t>
      </w:r>
      <w:r w:rsidR="00F46D9F">
        <w:rPr>
          <w:sz w:val="24"/>
          <w:szCs w:val="24"/>
          <w:lang w:val="en-US"/>
        </w:rPr>
        <w:t>, not expulsion.</w:t>
      </w:r>
      <w:r w:rsidR="0020287A">
        <w:rPr>
          <w:rStyle w:val="Refdenotaderodap"/>
          <w:sz w:val="24"/>
          <w:szCs w:val="24"/>
          <w:lang w:val="en-US"/>
        </w:rPr>
        <w:footnoteReference w:id="78"/>
      </w:r>
      <w:r w:rsidR="00F46D9F">
        <w:rPr>
          <w:sz w:val="24"/>
          <w:szCs w:val="24"/>
          <w:lang w:val="en-US"/>
        </w:rPr>
        <w:t xml:space="preserve"> </w:t>
      </w:r>
      <w:r w:rsidR="0068566B">
        <w:rPr>
          <w:sz w:val="24"/>
          <w:szCs w:val="24"/>
          <w:lang w:val="en-US"/>
        </w:rPr>
        <w:t>The distinction is consequential</w:t>
      </w:r>
      <w:r w:rsidR="00572E3F">
        <w:rPr>
          <w:sz w:val="24"/>
          <w:szCs w:val="24"/>
          <w:lang w:val="en-US"/>
        </w:rPr>
        <w:t>,</w:t>
      </w:r>
      <w:r w:rsidR="00B91D0B">
        <w:rPr>
          <w:sz w:val="24"/>
          <w:szCs w:val="24"/>
          <w:lang w:val="en-US"/>
        </w:rPr>
        <w:t xml:space="preserve"> since the imposition of liability keeps lock-in intact, while expulsion does not. </w:t>
      </w:r>
      <w:r w:rsidR="007E01C6">
        <w:rPr>
          <w:sz w:val="24"/>
          <w:szCs w:val="24"/>
          <w:lang w:val="en-US"/>
        </w:rPr>
        <w:t xml:space="preserve">However, at least in one </w:t>
      </w:r>
      <w:r w:rsidR="00B51E48">
        <w:rPr>
          <w:sz w:val="24"/>
          <w:szCs w:val="24"/>
          <w:lang w:val="en-US"/>
        </w:rPr>
        <w:t>decision by the</w:t>
      </w:r>
      <w:r w:rsidR="007E01C6">
        <w:rPr>
          <w:sz w:val="24"/>
          <w:szCs w:val="24"/>
          <w:lang w:val="en-US"/>
        </w:rPr>
        <w:t xml:space="preserve"> STJ has blurred the distinct</w:t>
      </w:r>
      <w:r w:rsidR="008D30FC">
        <w:rPr>
          <w:sz w:val="24"/>
          <w:szCs w:val="24"/>
          <w:lang w:val="en-US"/>
        </w:rPr>
        <w:t>ion between partial dissolution and expulsion</w:t>
      </w:r>
      <w:r w:rsidR="007E01C6">
        <w:rPr>
          <w:sz w:val="24"/>
          <w:szCs w:val="24"/>
          <w:lang w:val="en-US"/>
        </w:rPr>
        <w:t xml:space="preserve"> by </w:t>
      </w:r>
      <w:r w:rsidR="00B51E48">
        <w:rPr>
          <w:sz w:val="24"/>
          <w:szCs w:val="24"/>
          <w:lang w:val="en-US"/>
        </w:rPr>
        <w:t>claiming that there is “no o</w:t>
      </w:r>
      <w:r w:rsidR="008D30FC">
        <w:rPr>
          <w:sz w:val="24"/>
          <w:szCs w:val="24"/>
          <w:lang w:val="en-US"/>
        </w:rPr>
        <w:t xml:space="preserve">ntological difference” between both categories, thereby </w:t>
      </w:r>
      <w:r w:rsidR="007E01C6">
        <w:rPr>
          <w:sz w:val="24"/>
          <w:szCs w:val="24"/>
          <w:lang w:val="en-US"/>
        </w:rPr>
        <w:t xml:space="preserve">permitting the shareholder majority to request the withdrawal of minority shareholders due to breach of </w:t>
      </w:r>
      <w:proofErr w:type="spellStart"/>
      <w:r w:rsidR="007E01C6" w:rsidRPr="008D30FC">
        <w:rPr>
          <w:i/>
          <w:sz w:val="24"/>
          <w:szCs w:val="24"/>
          <w:lang w:val="en-US"/>
        </w:rPr>
        <w:t>affectio</w:t>
      </w:r>
      <w:proofErr w:type="spellEnd"/>
      <w:r w:rsidR="007E01C6" w:rsidRPr="008D30FC">
        <w:rPr>
          <w:i/>
          <w:sz w:val="24"/>
          <w:szCs w:val="24"/>
          <w:lang w:val="en-US"/>
        </w:rPr>
        <w:t xml:space="preserve"> </w:t>
      </w:r>
      <w:proofErr w:type="spellStart"/>
      <w:r w:rsidR="007E01C6" w:rsidRPr="008D30FC">
        <w:rPr>
          <w:i/>
          <w:sz w:val="24"/>
          <w:szCs w:val="24"/>
          <w:lang w:val="en-US"/>
        </w:rPr>
        <w:t>societatis</w:t>
      </w:r>
      <w:proofErr w:type="spellEnd"/>
      <w:r w:rsidR="007E01C6">
        <w:rPr>
          <w:sz w:val="24"/>
          <w:szCs w:val="24"/>
          <w:lang w:val="en-US"/>
        </w:rPr>
        <w:t>.</w:t>
      </w:r>
      <w:r w:rsidR="007E01C6">
        <w:rPr>
          <w:rStyle w:val="Refdenotaderodap"/>
          <w:sz w:val="24"/>
          <w:szCs w:val="24"/>
          <w:lang w:val="en-US"/>
        </w:rPr>
        <w:footnoteReference w:id="79"/>
      </w:r>
      <w:r w:rsidR="0070014B">
        <w:rPr>
          <w:sz w:val="24"/>
          <w:szCs w:val="24"/>
          <w:lang w:val="en-US"/>
        </w:rPr>
        <w:t xml:space="preserve"> </w:t>
      </w:r>
    </w:p>
    <w:p w:rsidR="00B21C73" w:rsidRDefault="00E652C2" w:rsidP="00B21C73">
      <w:pPr>
        <w:ind w:firstLine="720"/>
        <w:jc w:val="both"/>
        <w:rPr>
          <w:sz w:val="24"/>
          <w:szCs w:val="24"/>
          <w:lang w:val="en-US"/>
        </w:rPr>
      </w:pPr>
      <w:r>
        <w:rPr>
          <w:sz w:val="24"/>
          <w:szCs w:val="24"/>
          <w:lang w:val="en-US"/>
        </w:rPr>
        <w:lastRenderedPageBreak/>
        <w:t xml:space="preserve">In their </w:t>
      </w:r>
      <w:r w:rsidR="0037513D">
        <w:rPr>
          <w:sz w:val="24"/>
          <w:szCs w:val="24"/>
          <w:lang w:val="en-US"/>
        </w:rPr>
        <w:t>embrace</w:t>
      </w:r>
      <w:r>
        <w:rPr>
          <w:sz w:val="24"/>
          <w:szCs w:val="24"/>
          <w:lang w:val="en-US"/>
        </w:rPr>
        <w:t xml:space="preserve"> of partial dissolution and expulsion, Brazilian courts increasingly rely on exit as a substitute for liability. Considerations of institutional </w:t>
      </w:r>
      <w:r w:rsidR="00A14C58">
        <w:rPr>
          <w:sz w:val="24"/>
          <w:szCs w:val="24"/>
          <w:lang w:val="en-US"/>
        </w:rPr>
        <w:t>competence and capacity</w:t>
      </w:r>
      <w:r>
        <w:rPr>
          <w:sz w:val="24"/>
          <w:szCs w:val="24"/>
          <w:lang w:val="en-US"/>
        </w:rPr>
        <w:t xml:space="preserve"> likely play a role in this shift.</w:t>
      </w:r>
      <w:r w:rsidR="00BD1DA5">
        <w:rPr>
          <w:sz w:val="24"/>
          <w:szCs w:val="24"/>
          <w:lang w:val="en-US"/>
        </w:rPr>
        <w:t xml:space="preserve"> </w:t>
      </w:r>
      <w:r w:rsidR="009764BA">
        <w:rPr>
          <w:sz w:val="24"/>
          <w:szCs w:val="24"/>
          <w:lang w:val="en-US"/>
        </w:rPr>
        <w:t>Assessing</w:t>
      </w:r>
      <w:r w:rsidR="00BD1DA5">
        <w:rPr>
          <w:sz w:val="24"/>
          <w:szCs w:val="24"/>
          <w:lang w:val="en-US"/>
        </w:rPr>
        <w:t xml:space="preserve"> the existence of wrongdoing and the amount of da</w:t>
      </w:r>
      <w:r w:rsidR="009764BA">
        <w:rPr>
          <w:sz w:val="24"/>
          <w:szCs w:val="24"/>
          <w:lang w:val="en-US"/>
        </w:rPr>
        <w:t>mages places a greater burden on</w:t>
      </w:r>
      <w:r w:rsidR="00BD1DA5">
        <w:rPr>
          <w:sz w:val="24"/>
          <w:szCs w:val="24"/>
          <w:lang w:val="en-US"/>
        </w:rPr>
        <w:t xml:space="preserve"> courts than simply granting exit rights and leaving the question of valuation to a battle of experts.</w:t>
      </w:r>
    </w:p>
    <w:p w:rsidR="003A23B0" w:rsidRPr="002F0EAC" w:rsidRDefault="00A14C58" w:rsidP="00A14C58">
      <w:pPr>
        <w:jc w:val="both"/>
        <w:rPr>
          <w:color w:val="00B0F0"/>
          <w:sz w:val="24"/>
          <w:szCs w:val="24"/>
          <w:vertAlign w:val="superscript"/>
          <w:lang w:val="en-US"/>
        </w:rPr>
      </w:pPr>
      <w:r>
        <w:rPr>
          <w:sz w:val="24"/>
          <w:szCs w:val="24"/>
          <w:lang w:val="en-US"/>
        </w:rPr>
        <w:tab/>
      </w:r>
      <w:r w:rsidR="001D5CD2">
        <w:rPr>
          <w:sz w:val="24"/>
          <w:szCs w:val="24"/>
          <w:lang w:val="en-US"/>
        </w:rPr>
        <w:t>Finally, the prevailing</w:t>
      </w:r>
      <w:r>
        <w:rPr>
          <w:sz w:val="24"/>
          <w:szCs w:val="24"/>
          <w:lang w:val="en-US"/>
        </w:rPr>
        <w:t xml:space="preserve"> legal regime of family law and successions</w:t>
      </w:r>
      <w:r w:rsidR="001D5CD2">
        <w:rPr>
          <w:sz w:val="24"/>
          <w:szCs w:val="24"/>
          <w:lang w:val="en-US"/>
        </w:rPr>
        <w:t xml:space="preserve"> in Brazil also puts pressure on lock-in</w:t>
      </w:r>
      <w:r>
        <w:rPr>
          <w:sz w:val="24"/>
          <w:szCs w:val="24"/>
          <w:lang w:val="en-US"/>
        </w:rPr>
        <w:t>. Following the French tradition, Brazilian law imposes a principle of “</w:t>
      </w:r>
      <w:r w:rsidRPr="002F0EAC">
        <w:rPr>
          <w:sz w:val="24"/>
          <w:szCs w:val="24"/>
          <w:lang w:val="en-US"/>
        </w:rPr>
        <w:t>legitimate successi</w:t>
      </w:r>
      <w:r w:rsidR="001D5CD2" w:rsidRPr="002F0EAC">
        <w:rPr>
          <w:sz w:val="24"/>
          <w:szCs w:val="24"/>
          <w:lang w:val="en-US"/>
        </w:rPr>
        <w:t>on.</w:t>
      </w:r>
      <w:r w:rsidRPr="002F0EAC">
        <w:rPr>
          <w:sz w:val="24"/>
          <w:szCs w:val="24"/>
          <w:lang w:val="en-US"/>
        </w:rPr>
        <w:t>”</w:t>
      </w:r>
      <w:r w:rsidR="001D5CD2" w:rsidRPr="002F0EAC">
        <w:rPr>
          <w:sz w:val="24"/>
          <w:szCs w:val="24"/>
          <w:lang w:val="en-US"/>
        </w:rPr>
        <w:t xml:space="preserve"> Under current law, this principle</w:t>
      </w:r>
      <w:r w:rsidRPr="002F0EAC">
        <w:rPr>
          <w:sz w:val="24"/>
          <w:szCs w:val="24"/>
          <w:lang w:val="en-US"/>
        </w:rPr>
        <w:t xml:space="preserve"> limits freedom of intestacy to reserve one-half of the estate to the legitimate heirs,</w:t>
      </w:r>
      <w:r w:rsidR="001D5CD2" w:rsidRPr="002F0EAC">
        <w:rPr>
          <w:sz w:val="24"/>
          <w:szCs w:val="24"/>
          <w:lang w:val="en-US"/>
        </w:rPr>
        <w:t xml:space="preserve"> which are </w:t>
      </w:r>
      <w:r w:rsidRPr="002F0EAC">
        <w:rPr>
          <w:sz w:val="24"/>
          <w:szCs w:val="24"/>
          <w:lang w:val="en-US"/>
        </w:rPr>
        <w:t>the descendants and the spouse.</w:t>
      </w:r>
      <w:r w:rsidR="002F0EAC" w:rsidRPr="002F0EAC">
        <w:rPr>
          <w:rStyle w:val="Refdenotaderodap"/>
          <w:sz w:val="24"/>
          <w:szCs w:val="24"/>
          <w:lang w:val="en-US"/>
        </w:rPr>
        <w:footnoteReference w:id="80"/>
      </w:r>
      <w:r w:rsidRPr="002F0EAC">
        <w:rPr>
          <w:sz w:val="24"/>
          <w:szCs w:val="24"/>
          <w:lang w:val="en-US"/>
        </w:rPr>
        <w:t xml:space="preserve"> </w:t>
      </w:r>
      <w:r w:rsidR="00063487" w:rsidRPr="002F0EAC">
        <w:rPr>
          <w:sz w:val="24"/>
          <w:szCs w:val="24"/>
          <w:lang w:val="en-US"/>
        </w:rPr>
        <w:t xml:space="preserve">The interplay between </w:t>
      </w:r>
      <w:r w:rsidR="001D5CD2" w:rsidRPr="002F0EAC">
        <w:rPr>
          <w:sz w:val="24"/>
          <w:szCs w:val="24"/>
          <w:lang w:val="en-US"/>
        </w:rPr>
        <w:t>legitimate succession</w:t>
      </w:r>
      <w:r w:rsidR="0084074B" w:rsidRPr="002F0EAC">
        <w:rPr>
          <w:sz w:val="24"/>
          <w:szCs w:val="24"/>
          <w:lang w:val="en-US"/>
        </w:rPr>
        <w:t xml:space="preserve"> and the attribute of lock-in has a long history</w:t>
      </w:r>
      <w:r w:rsidR="0084074B">
        <w:rPr>
          <w:sz w:val="24"/>
          <w:szCs w:val="24"/>
          <w:lang w:val="en-US"/>
        </w:rPr>
        <w:t xml:space="preserve">. </w:t>
      </w:r>
      <w:r w:rsidR="00C27A34">
        <w:rPr>
          <w:sz w:val="24"/>
          <w:szCs w:val="24"/>
          <w:lang w:val="en-US"/>
        </w:rPr>
        <w:t xml:space="preserve">In France since the mid-nineteenth century and </w:t>
      </w:r>
      <w:proofErr w:type="gramStart"/>
      <w:r w:rsidR="00C27A34">
        <w:rPr>
          <w:sz w:val="24"/>
          <w:szCs w:val="24"/>
          <w:lang w:val="en-US"/>
        </w:rPr>
        <w:t>later also</w:t>
      </w:r>
      <w:proofErr w:type="gramEnd"/>
      <w:r w:rsidR="00C27A34">
        <w:rPr>
          <w:sz w:val="24"/>
          <w:szCs w:val="24"/>
          <w:lang w:val="en-US"/>
        </w:rPr>
        <w:t xml:space="preserve"> in Brazil,</w:t>
      </w:r>
      <w:r w:rsidR="00BC6116">
        <w:rPr>
          <w:sz w:val="24"/>
          <w:szCs w:val="24"/>
          <w:lang w:val="en-US"/>
        </w:rPr>
        <w:t xml:space="preserve"> one of the main attractions of the corporate form </w:t>
      </w:r>
      <w:r w:rsidR="00C27A34">
        <w:rPr>
          <w:sz w:val="24"/>
          <w:szCs w:val="24"/>
          <w:lang w:val="en-US"/>
        </w:rPr>
        <w:t xml:space="preserve">was </w:t>
      </w:r>
      <w:r w:rsidR="00BC6116">
        <w:rPr>
          <w:sz w:val="24"/>
          <w:szCs w:val="24"/>
          <w:lang w:val="en-US"/>
        </w:rPr>
        <w:t>to avoid the forced partition of family firms due to inheritance laws.</w:t>
      </w:r>
      <w:r w:rsidR="006E3705">
        <w:rPr>
          <w:rStyle w:val="Refdenotaderodap"/>
          <w:sz w:val="24"/>
          <w:szCs w:val="24"/>
          <w:lang w:val="en-US"/>
        </w:rPr>
        <w:footnoteReference w:id="81"/>
      </w:r>
      <w:r w:rsidR="00BC6116">
        <w:rPr>
          <w:sz w:val="24"/>
          <w:szCs w:val="24"/>
          <w:lang w:val="en-US"/>
        </w:rPr>
        <w:t xml:space="preserve"> </w:t>
      </w:r>
      <w:r w:rsidR="00641C38" w:rsidRPr="00BC6116">
        <w:rPr>
          <w:sz w:val="24"/>
          <w:szCs w:val="24"/>
          <w:lang w:val="en-US"/>
        </w:rPr>
        <w:t>In</w:t>
      </w:r>
      <w:r w:rsidR="00641C38">
        <w:rPr>
          <w:sz w:val="24"/>
          <w:szCs w:val="24"/>
          <w:lang w:val="en-US"/>
        </w:rPr>
        <w:t xml:space="preserve"> contemporary Brazil, however, </w:t>
      </w:r>
      <w:r w:rsidR="00BC6116">
        <w:rPr>
          <w:sz w:val="24"/>
          <w:szCs w:val="24"/>
          <w:lang w:val="en-US"/>
        </w:rPr>
        <w:t>courts have instead favored the statutory objective of fair treatment of heirs to the detriment of corporate continuity</w:t>
      </w:r>
      <w:r w:rsidR="00641C38">
        <w:rPr>
          <w:sz w:val="24"/>
          <w:szCs w:val="24"/>
          <w:lang w:val="en-US"/>
        </w:rPr>
        <w:t>.</w:t>
      </w:r>
      <w:r w:rsidR="00514381">
        <w:rPr>
          <w:rStyle w:val="Refdenotaderodap"/>
          <w:sz w:val="24"/>
          <w:szCs w:val="24"/>
          <w:lang w:val="en-US"/>
        </w:rPr>
        <w:footnoteReference w:id="82"/>
      </w:r>
      <w:r w:rsidR="00641C38">
        <w:rPr>
          <w:sz w:val="24"/>
          <w:szCs w:val="24"/>
          <w:lang w:val="en-US"/>
        </w:rPr>
        <w:t xml:space="preserve"> A meaningful number of partial dissolution requests</w:t>
      </w:r>
      <w:r w:rsidR="00B26969">
        <w:rPr>
          <w:sz w:val="24"/>
          <w:szCs w:val="24"/>
          <w:lang w:val="en-US"/>
        </w:rPr>
        <w:t xml:space="preserve">—including the two leading cases </w:t>
      </w:r>
      <w:r w:rsidR="00AB0631">
        <w:rPr>
          <w:sz w:val="24"/>
          <w:szCs w:val="24"/>
          <w:lang w:val="en-US"/>
        </w:rPr>
        <w:t xml:space="preserve">decided </w:t>
      </w:r>
      <w:r w:rsidR="00B26969">
        <w:rPr>
          <w:sz w:val="24"/>
          <w:szCs w:val="24"/>
          <w:lang w:val="en-US"/>
        </w:rPr>
        <w:t>by the STJ—involve claims by</w:t>
      </w:r>
      <w:r w:rsidR="00641C38">
        <w:rPr>
          <w:sz w:val="24"/>
          <w:szCs w:val="24"/>
          <w:lang w:val="en-US"/>
        </w:rPr>
        <w:t xml:space="preserve"> heirs or former spouses of original shareholders.</w:t>
      </w:r>
    </w:p>
    <w:p w:rsidR="0042331A" w:rsidRPr="00BC1813" w:rsidRDefault="006E7591" w:rsidP="00464321">
      <w:pPr>
        <w:ind w:firstLine="720"/>
        <w:jc w:val="both"/>
        <w:rPr>
          <w:b/>
          <w:sz w:val="24"/>
          <w:szCs w:val="24"/>
          <w:lang w:val="en-US"/>
        </w:rPr>
      </w:pPr>
      <w:r>
        <w:rPr>
          <w:sz w:val="24"/>
          <w:szCs w:val="24"/>
          <w:lang w:val="en-US"/>
        </w:rPr>
        <w:t>Given the</w:t>
      </w:r>
      <w:r w:rsidR="003A1CB6">
        <w:rPr>
          <w:sz w:val="24"/>
          <w:szCs w:val="24"/>
          <w:lang w:val="en-US"/>
        </w:rPr>
        <w:t xml:space="preserve"> </w:t>
      </w:r>
      <w:r w:rsidR="00AB0631">
        <w:rPr>
          <w:sz w:val="24"/>
          <w:szCs w:val="24"/>
          <w:lang w:val="en-US"/>
        </w:rPr>
        <w:t>radical</w:t>
      </w:r>
      <w:r>
        <w:rPr>
          <w:sz w:val="24"/>
          <w:szCs w:val="24"/>
          <w:lang w:val="en-US"/>
        </w:rPr>
        <w:t xml:space="preserve"> break with</w:t>
      </w:r>
      <w:r w:rsidR="003A1CB6">
        <w:rPr>
          <w:sz w:val="24"/>
          <w:szCs w:val="24"/>
          <w:lang w:val="en-US"/>
        </w:rPr>
        <w:t xml:space="preserve"> </w:t>
      </w:r>
      <w:r w:rsidR="00AB0631">
        <w:rPr>
          <w:sz w:val="24"/>
          <w:szCs w:val="24"/>
          <w:lang w:val="en-US"/>
        </w:rPr>
        <w:t xml:space="preserve">both </w:t>
      </w:r>
      <w:r>
        <w:rPr>
          <w:sz w:val="24"/>
          <w:szCs w:val="24"/>
          <w:lang w:val="en-US"/>
        </w:rPr>
        <w:t>Brazil’s legal tradition and comparative experience</w:t>
      </w:r>
      <w:r w:rsidR="003A1CB6">
        <w:rPr>
          <w:sz w:val="24"/>
          <w:szCs w:val="24"/>
          <w:lang w:val="en-US"/>
        </w:rPr>
        <w:t>,</w:t>
      </w:r>
      <w:r>
        <w:rPr>
          <w:sz w:val="24"/>
          <w:szCs w:val="24"/>
          <w:lang w:val="en-US"/>
        </w:rPr>
        <w:t xml:space="preserve"> </w:t>
      </w:r>
      <w:r w:rsidR="0068607D">
        <w:rPr>
          <w:sz w:val="24"/>
          <w:szCs w:val="24"/>
          <w:lang w:val="en-US"/>
        </w:rPr>
        <w:t>the elimination of lock-in has caused surprisingly little scholarly uproar</w:t>
      </w:r>
      <w:r w:rsidR="00485F8C">
        <w:rPr>
          <w:sz w:val="24"/>
          <w:szCs w:val="24"/>
          <w:lang w:val="en-US"/>
        </w:rPr>
        <w:t>.</w:t>
      </w:r>
      <w:r w:rsidR="00464321">
        <w:rPr>
          <w:sz w:val="24"/>
          <w:szCs w:val="24"/>
          <w:lang w:val="en-US"/>
        </w:rPr>
        <w:t xml:space="preserve"> </w:t>
      </w:r>
      <w:r w:rsidR="00BC1813">
        <w:rPr>
          <w:sz w:val="24"/>
          <w:szCs w:val="24"/>
          <w:lang w:val="en-US"/>
        </w:rPr>
        <w:t>To be sure, a</w:t>
      </w:r>
      <w:r w:rsidR="00C648D7">
        <w:rPr>
          <w:sz w:val="24"/>
          <w:szCs w:val="24"/>
          <w:lang w:val="en-US"/>
        </w:rPr>
        <w:t xml:space="preserve"> number of scholars continue to disavow the possibility of partial dissolution of business corporations.</w:t>
      </w:r>
      <w:r w:rsidR="00C648D7">
        <w:rPr>
          <w:rStyle w:val="Refdenotaderodap"/>
          <w:sz w:val="24"/>
          <w:szCs w:val="24"/>
          <w:lang w:val="en-US"/>
        </w:rPr>
        <w:footnoteReference w:id="83"/>
      </w:r>
      <w:r w:rsidR="00C648D7">
        <w:rPr>
          <w:sz w:val="24"/>
          <w:szCs w:val="24"/>
          <w:lang w:val="en-US"/>
        </w:rPr>
        <w:t xml:space="preserve"> </w:t>
      </w:r>
      <w:r w:rsidR="00BE00B1">
        <w:rPr>
          <w:sz w:val="24"/>
          <w:szCs w:val="24"/>
          <w:lang w:val="en-US"/>
        </w:rPr>
        <w:t>The vast majority of commentators</w:t>
      </w:r>
      <w:r w:rsidR="00C648D7">
        <w:rPr>
          <w:sz w:val="24"/>
          <w:szCs w:val="24"/>
          <w:lang w:val="en-US"/>
        </w:rPr>
        <w:t>, however, has come to</w:t>
      </w:r>
      <w:r w:rsidR="00BE00B1">
        <w:rPr>
          <w:sz w:val="24"/>
          <w:szCs w:val="24"/>
          <w:lang w:val="en-US"/>
        </w:rPr>
        <w:t xml:space="preserve"> approve </w:t>
      </w:r>
      <w:r w:rsidR="00C648D7">
        <w:rPr>
          <w:sz w:val="24"/>
          <w:szCs w:val="24"/>
          <w:lang w:val="en-US"/>
        </w:rPr>
        <w:t xml:space="preserve">partial dissolutions with considerable enthusiasm, </w:t>
      </w:r>
      <w:r w:rsidR="00BE00B1">
        <w:rPr>
          <w:sz w:val="24"/>
          <w:szCs w:val="24"/>
          <w:lang w:val="en-US"/>
        </w:rPr>
        <w:t xml:space="preserve">either unconditionally or with relative modest qualifications, such as the need to prove the breach of </w:t>
      </w:r>
      <w:proofErr w:type="spellStart"/>
      <w:r w:rsidR="00BE00B1">
        <w:rPr>
          <w:i/>
          <w:sz w:val="24"/>
          <w:szCs w:val="24"/>
          <w:lang w:val="en-US"/>
        </w:rPr>
        <w:t>affectio</w:t>
      </w:r>
      <w:proofErr w:type="spellEnd"/>
      <w:r w:rsidR="00BE00B1">
        <w:rPr>
          <w:i/>
          <w:sz w:val="24"/>
          <w:szCs w:val="24"/>
          <w:lang w:val="en-US"/>
        </w:rPr>
        <w:t xml:space="preserve"> </w:t>
      </w:r>
      <w:proofErr w:type="spellStart"/>
      <w:r w:rsidR="00BE00B1">
        <w:rPr>
          <w:i/>
          <w:sz w:val="24"/>
          <w:szCs w:val="24"/>
          <w:lang w:val="en-US"/>
        </w:rPr>
        <w:t>societatis</w:t>
      </w:r>
      <w:proofErr w:type="spellEnd"/>
      <w:r w:rsidR="00BE00B1">
        <w:rPr>
          <w:sz w:val="24"/>
          <w:szCs w:val="24"/>
          <w:lang w:val="en-US"/>
        </w:rPr>
        <w:t>.</w:t>
      </w:r>
      <w:r w:rsidR="00C648D7">
        <w:rPr>
          <w:rStyle w:val="Refdenotaderodap"/>
          <w:sz w:val="24"/>
          <w:szCs w:val="24"/>
          <w:lang w:val="en-US"/>
        </w:rPr>
        <w:footnoteReference w:id="84"/>
      </w:r>
      <w:r w:rsidR="00BE00B1">
        <w:rPr>
          <w:sz w:val="24"/>
          <w:szCs w:val="24"/>
          <w:lang w:val="en-US"/>
        </w:rPr>
        <w:t xml:space="preserve"> </w:t>
      </w:r>
    </w:p>
    <w:p w:rsidR="00B93FF4" w:rsidRPr="00C62D88" w:rsidRDefault="00C62D88" w:rsidP="00260800">
      <w:pPr>
        <w:jc w:val="both"/>
        <w:rPr>
          <w:sz w:val="24"/>
          <w:szCs w:val="24"/>
          <w:lang w:val="en-US"/>
        </w:rPr>
      </w:pPr>
      <w:r w:rsidRPr="00C62D88">
        <w:rPr>
          <w:sz w:val="24"/>
          <w:szCs w:val="24"/>
          <w:lang w:val="en-US"/>
        </w:rPr>
        <w:t>B.</w:t>
      </w:r>
      <w:r w:rsidRPr="00C62D88">
        <w:rPr>
          <w:sz w:val="24"/>
          <w:szCs w:val="24"/>
          <w:lang w:val="en-US"/>
        </w:rPr>
        <w:tab/>
        <w:t>Limited l</w:t>
      </w:r>
      <w:r w:rsidR="00B93FF4" w:rsidRPr="00C62D88">
        <w:rPr>
          <w:sz w:val="24"/>
          <w:szCs w:val="24"/>
          <w:lang w:val="en-US"/>
        </w:rPr>
        <w:t>iability</w:t>
      </w:r>
    </w:p>
    <w:p w:rsidR="009F671A" w:rsidRDefault="00CD7832" w:rsidP="00260800">
      <w:pPr>
        <w:jc w:val="both"/>
        <w:rPr>
          <w:sz w:val="24"/>
          <w:szCs w:val="24"/>
          <w:lang w:val="en-US"/>
        </w:rPr>
      </w:pPr>
      <w:r>
        <w:rPr>
          <w:sz w:val="24"/>
          <w:szCs w:val="24"/>
          <w:lang w:val="en-US"/>
        </w:rPr>
        <w:tab/>
        <w:t xml:space="preserve">The second, </w:t>
      </w:r>
      <w:r w:rsidR="006A4012">
        <w:rPr>
          <w:sz w:val="24"/>
          <w:szCs w:val="24"/>
          <w:lang w:val="en-US"/>
        </w:rPr>
        <w:t xml:space="preserve">and </w:t>
      </w:r>
      <w:r>
        <w:rPr>
          <w:sz w:val="24"/>
          <w:szCs w:val="24"/>
          <w:lang w:val="en-US"/>
        </w:rPr>
        <w:t xml:space="preserve">certainly </w:t>
      </w:r>
      <w:r w:rsidR="00EA68E1">
        <w:rPr>
          <w:sz w:val="24"/>
          <w:szCs w:val="24"/>
          <w:lang w:val="en-US"/>
        </w:rPr>
        <w:t xml:space="preserve">the </w:t>
      </w:r>
      <w:r>
        <w:rPr>
          <w:sz w:val="24"/>
          <w:szCs w:val="24"/>
          <w:lang w:val="en-US"/>
        </w:rPr>
        <w:t xml:space="preserve">most </w:t>
      </w:r>
      <w:r w:rsidR="00801B1E">
        <w:rPr>
          <w:sz w:val="24"/>
          <w:szCs w:val="24"/>
          <w:lang w:val="en-US"/>
        </w:rPr>
        <w:t>celebrated</w:t>
      </w:r>
      <w:r>
        <w:rPr>
          <w:sz w:val="24"/>
          <w:szCs w:val="24"/>
          <w:lang w:val="en-US"/>
        </w:rPr>
        <w:t>, attribute of the corporate for</w:t>
      </w:r>
      <w:r w:rsidR="00801B1E">
        <w:rPr>
          <w:sz w:val="24"/>
          <w:szCs w:val="24"/>
          <w:lang w:val="en-US"/>
        </w:rPr>
        <w:t>m is limited liability</w:t>
      </w:r>
      <w:r w:rsidR="00703A2F">
        <w:rPr>
          <w:sz w:val="24"/>
          <w:szCs w:val="24"/>
          <w:lang w:val="en-US"/>
        </w:rPr>
        <w:t>.</w:t>
      </w:r>
      <w:bookmarkStart w:id="11" w:name="_Ref464281200"/>
      <w:r w:rsidR="00831413">
        <w:rPr>
          <w:rStyle w:val="Refdenotaderodap"/>
          <w:sz w:val="24"/>
          <w:szCs w:val="24"/>
          <w:lang w:val="en-US"/>
        </w:rPr>
        <w:footnoteReference w:id="85"/>
      </w:r>
      <w:bookmarkEnd w:id="11"/>
      <w:r w:rsidR="00703A2F">
        <w:rPr>
          <w:sz w:val="24"/>
          <w:szCs w:val="24"/>
          <w:lang w:val="en-US"/>
        </w:rPr>
        <w:t xml:space="preserve"> Limited liability—or, in </w:t>
      </w:r>
      <w:r w:rsidR="00C60CFA">
        <w:rPr>
          <w:sz w:val="24"/>
          <w:szCs w:val="24"/>
          <w:lang w:val="en-US"/>
        </w:rPr>
        <w:t>the</w:t>
      </w:r>
      <w:r w:rsidR="00703A2F">
        <w:rPr>
          <w:sz w:val="24"/>
          <w:szCs w:val="24"/>
          <w:lang w:val="en-US"/>
        </w:rPr>
        <w:t xml:space="preserve"> terminology</w:t>
      </w:r>
      <w:r w:rsidR="00C60CFA">
        <w:rPr>
          <w:sz w:val="24"/>
          <w:szCs w:val="24"/>
          <w:lang w:val="en-US"/>
        </w:rPr>
        <w:t xml:space="preserve"> of </w:t>
      </w:r>
      <w:proofErr w:type="spellStart"/>
      <w:r w:rsidR="00C60CFA">
        <w:rPr>
          <w:sz w:val="24"/>
          <w:szCs w:val="24"/>
          <w:lang w:val="en-US"/>
        </w:rPr>
        <w:t>Hansmann</w:t>
      </w:r>
      <w:proofErr w:type="spellEnd"/>
      <w:r w:rsidR="00C60CFA">
        <w:rPr>
          <w:sz w:val="24"/>
          <w:szCs w:val="24"/>
          <w:lang w:val="en-US"/>
        </w:rPr>
        <w:t xml:space="preserve">, </w:t>
      </w:r>
      <w:proofErr w:type="spellStart"/>
      <w:r w:rsidR="00C60CFA">
        <w:rPr>
          <w:sz w:val="24"/>
          <w:szCs w:val="24"/>
          <w:lang w:val="en-US"/>
        </w:rPr>
        <w:t>Kraakman</w:t>
      </w:r>
      <w:proofErr w:type="spellEnd"/>
      <w:r w:rsidR="00C60CFA">
        <w:rPr>
          <w:sz w:val="24"/>
          <w:szCs w:val="24"/>
          <w:lang w:val="en-US"/>
        </w:rPr>
        <w:t xml:space="preserve"> and </w:t>
      </w:r>
      <w:r w:rsidR="00C60CFA">
        <w:rPr>
          <w:sz w:val="24"/>
          <w:szCs w:val="24"/>
          <w:lang w:val="en-US"/>
        </w:rPr>
        <w:lastRenderedPageBreak/>
        <w:t>Squire</w:t>
      </w:r>
      <w:r w:rsidR="00703A2F">
        <w:rPr>
          <w:sz w:val="24"/>
          <w:szCs w:val="24"/>
          <w:lang w:val="en-US"/>
        </w:rPr>
        <w:t>, “owner shielding”—is the reverse of “entity shielding.”</w:t>
      </w:r>
      <w:r w:rsidR="000E5F34">
        <w:rPr>
          <w:rStyle w:val="Refdenotaderodap"/>
          <w:sz w:val="24"/>
          <w:szCs w:val="24"/>
          <w:lang w:val="en-US"/>
        </w:rPr>
        <w:footnoteReference w:id="86"/>
      </w:r>
      <w:r w:rsidR="00703A2F">
        <w:rPr>
          <w:sz w:val="24"/>
          <w:szCs w:val="24"/>
          <w:lang w:val="en-US"/>
        </w:rPr>
        <w:t xml:space="preserve"> It ensures that </w:t>
      </w:r>
      <w:r w:rsidR="007B5FB2">
        <w:rPr>
          <w:sz w:val="24"/>
          <w:szCs w:val="24"/>
          <w:lang w:val="en-US"/>
        </w:rPr>
        <w:t xml:space="preserve">the personal creditors of shareholders will have exclusive access to shareholders’ assets, just </w:t>
      </w:r>
      <w:r w:rsidR="00D12D2F">
        <w:rPr>
          <w:sz w:val="24"/>
          <w:szCs w:val="24"/>
          <w:lang w:val="en-US"/>
        </w:rPr>
        <w:t>as</w:t>
      </w:r>
      <w:r w:rsidR="007B5FB2">
        <w:rPr>
          <w:sz w:val="24"/>
          <w:szCs w:val="24"/>
          <w:lang w:val="en-US"/>
        </w:rPr>
        <w:t xml:space="preserve"> corporate creditors have exclusive access to the corporation’s assets. </w:t>
      </w:r>
      <w:r w:rsidR="009F671A">
        <w:rPr>
          <w:sz w:val="24"/>
          <w:szCs w:val="24"/>
          <w:lang w:val="en-US"/>
        </w:rPr>
        <w:t>Despite the traditional centrality of limited liability to the business corporation and its assumed importance to the modern capitalist economy, Brazilian law</w:t>
      </w:r>
      <w:r w:rsidR="00907859">
        <w:rPr>
          <w:sz w:val="24"/>
          <w:szCs w:val="24"/>
          <w:lang w:val="en-US"/>
        </w:rPr>
        <w:t xml:space="preserve"> </w:t>
      </w:r>
      <w:r w:rsidR="009F671A">
        <w:rPr>
          <w:sz w:val="24"/>
          <w:szCs w:val="24"/>
          <w:lang w:val="en-US"/>
        </w:rPr>
        <w:t xml:space="preserve">has greatly reduced its scope. </w:t>
      </w:r>
    </w:p>
    <w:p w:rsidR="003E509C" w:rsidRDefault="003E509C" w:rsidP="00260800">
      <w:pPr>
        <w:jc w:val="both"/>
        <w:rPr>
          <w:sz w:val="24"/>
          <w:szCs w:val="24"/>
          <w:lang w:val="en-US"/>
        </w:rPr>
      </w:pPr>
      <w:r>
        <w:rPr>
          <w:sz w:val="24"/>
          <w:szCs w:val="24"/>
          <w:lang w:val="en-US"/>
        </w:rPr>
        <w:tab/>
        <w:t xml:space="preserve">The benefits of limited liability are </w:t>
      </w:r>
      <w:proofErr w:type="gramStart"/>
      <w:r w:rsidR="009F671A">
        <w:rPr>
          <w:sz w:val="24"/>
          <w:szCs w:val="24"/>
          <w:lang w:val="en-US"/>
        </w:rPr>
        <w:t>well-known</w:t>
      </w:r>
      <w:proofErr w:type="gramEnd"/>
      <w:r w:rsidR="009F671A">
        <w:rPr>
          <w:sz w:val="24"/>
          <w:szCs w:val="24"/>
          <w:lang w:val="en-US"/>
        </w:rPr>
        <w:t xml:space="preserve"> and </w:t>
      </w:r>
      <w:r>
        <w:rPr>
          <w:sz w:val="24"/>
          <w:szCs w:val="24"/>
          <w:lang w:val="en-US"/>
        </w:rPr>
        <w:t>manifold: it greatly relieves shareholders from the burden of monitoring managers and other shareholders, and thereby encourages transferability and diversification.</w:t>
      </w:r>
      <w:r w:rsidR="002E1389">
        <w:rPr>
          <w:sz w:val="24"/>
          <w:szCs w:val="24"/>
          <w:lang w:val="en-US"/>
        </w:rPr>
        <w:t xml:space="preserve"> Because of limited liability, the pricing of corporate shares does not depend on the creditworthiness of owners, which facilitates transferability and the operation of </w:t>
      </w:r>
      <w:r>
        <w:rPr>
          <w:sz w:val="24"/>
          <w:szCs w:val="24"/>
          <w:lang w:val="en-US"/>
        </w:rPr>
        <w:t>the market for corporate control. Perhaps most importantly, limited liability decreases the costs of investing in business corporations and, therefore, promotes such investments.</w:t>
      </w:r>
      <w:bookmarkStart w:id="12" w:name="_Ref455606683"/>
      <w:r>
        <w:rPr>
          <w:rStyle w:val="Refdenotaderodap"/>
          <w:sz w:val="24"/>
          <w:szCs w:val="24"/>
          <w:lang w:val="en-US"/>
        </w:rPr>
        <w:footnoteReference w:id="87"/>
      </w:r>
      <w:bookmarkEnd w:id="12"/>
      <w:r>
        <w:rPr>
          <w:sz w:val="24"/>
          <w:szCs w:val="24"/>
          <w:lang w:val="en-US"/>
        </w:rPr>
        <w:t xml:space="preserve"> The recognized </w:t>
      </w:r>
      <w:r w:rsidR="004520BB">
        <w:rPr>
          <w:sz w:val="24"/>
          <w:szCs w:val="24"/>
          <w:lang w:val="en-US"/>
        </w:rPr>
        <w:t xml:space="preserve">importance </w:t>
      </w:r>
      <w:r>
        <w:rPr>
          <w:sz w:val="24"/>
          <w:szCs w:val="24"/>
          <w:lang w:val="en-US"/>
        </w:rPr>
        <w:t xml:space="preserve">of legal liability to the corporate form is such that the apparent expansion of veil piercing doctrine in </w:t>
      </w:r>
      <w:r w:rsidR="0001563A">
        <w:rPr>
          <w:sz w:val="24"/>
          <w:szCs w:val="24"/>
          <w:lang w:val="en-US"/>
        </w:rPr>
        <w:t xml:space="preserve">the </w:t>
      </w:r>
      <w:r w:rsidR="004520BB">
        <w:rPr>
          <w:sz w:val="24"/>
          <w:szCs w:val="24"/>
          <w:lang w:val="en-US"/>
        </w:rPr>
        <w:t>U.S.</w:t>
      </w:r>
      <w:r>
        <w:rPr>
          <w:sz w:val="24"/>
          <w:szCs w:val="24"/>
          <w:lang w:val="en-US"/>
        </w:rPr>
        <w:t xml:space="preserve"> </w:t>
      </w:r>
      <w:r w:rsidR="0001563A">
        <w:rPr>
          <w:sz w:val="24"/>
          <w:szCs w:val="24"/>
          <w:lang w:val="en-US"/>
        </w:rPr>
        <w:t xml:space="preserve">in the late twentieth century </w:t>
      </w:r>
      <w:r w:rsidR="007675AD">
        <w:rPr>
          <w:sz w:val="24"/>
          <w:szCs w:val="24"/>
          <w:lang w:val="en-US"/>
        </w:rPr>
        <w:t>raised provocative warnings</w:t>
      </w:r>
      <w:r>
        <w:rPr>
          <w:sz w:val="24"/>
          <w:szCs w:val="24"/>
          <w:lang w:val="en-US"/>
        </w:rPr>
        <w:t xml:space="preserve"> against the “killing of the corporation.”</w:t>
      </w:r>
      <w:bookmarkStart w:id="13" w:name="_Ref456086222"/>
      <w:r>
        <w:rPr>
          <w:rStyle w:val="Refdenotaderodap"/>
          <w:sz w:val="24"/>
          <w:szCs w:val="24"/>
          <w:lang w:val="en-US"/>
        </w:rPr>
        <w:footnoteReference w:id="88"/>
      </w:r>
      <w:bookmarkEnd w:id="13"/>
    </w:p>
    <w:p w:rsidR="005B4C50" w:rsidRDefault="000E5F34" w:rsidP="00201CEE">
      <w:pPr>
        <w:jc w:val="both"/>
        <w:rPr>
          <w:sz w:val="24"/>
          <w:szCs w:val="24"/>
          <w:lang w:val="en-US"/>
        </w:rPr>
      </w:pPr>
      <w:r>
        <w:rPr>
          <w:sz w:val="24"/>
          <w:szCs w:val="24"/>
          <w:lang w:val="en-US"/>
        </w:rPr>
        <w:tab/>
      </w:r>
      <w:r w:rsidR="005D47A1">
        <w:rPr>
          <w:sz w:val="24"/>
          <w:szCs w:val="24"/>
          <w:lang w:val="en-US"/>
        </w:rPr>
        <w:t xml:space="preserve">Although </w:t>
      </w:r>
      <w:r w:rsidR="000517E5">
        <w:rPr>
          <w:sz w:val="24"/>
          <w:szCs w:val="24"/>
          <w:lang w:val="en-US"/>
        </w:rPr>
        <w:t>widespread today, limited liability was not a constant feature of early business corporations.</w:t>
      </w:r>
      <w:r w:rsidR="00FE536E">
        <w:rPr>
          <w:rStyle w:val="Refdenotaderodap"/>
          <w:sz w:val="24"/>
          <w:szCs w:val="24"/>
          <w:lang w:val="en-US"/>
        </w:rPr>
        <w:footnoteReference w:id="89"/>
      </w:r>
      <w:r w:rsidR="000517E5">
        <w:rPr>
          <w:sz w:val="24"/>
          <w:szCs w:val="24"/>
          <w:lang w:val="en-US"/>
        </w:rPr>
        <w:t xml:space="preserve"> </w:t>
      </w:r>
      <w:r w:rsidR="008A4EFB">
        <w:rPr>
          <w:sz w:val="24"/>
          <w:szCs w:val="24"/>
          <w:lang w:val="en-US"/>
        </w:rPr>
        <w:t xml:space="preserve">For instance, </w:t>
      </w:r>
      <w:r w:rsidR="001719FE">
        <w:rPr>
          <w:sz w:val="24"/>
          <w:szCs w:val="24"/>
          <w:lang w:val="en-US"/>
        </w:rPr>
        <w:t xml:space="preserve">California </w:t>
      </w:r>
      <w:r w:rsidR="008D3EBE">
        <w:rPr>
          <w:sz w:val="24"/>
          <w:szCs w:val="24"/>
          <w:lang w:val="en-US"/>
        </w:rPr>
        <w:t>did not offer limited liability until 1931</w:t>
      </w:r>
      <w:r w:rsidR="001719FE">
        <w:rPr>
          <w:sz w:val="24"/>
          <w:szCs w:val="24"/>
          <w:lang w:val="en-US"/>
        </w:rPr>
        <w:t>, and U.S. banks imposed “double liability” on shareholders during the period between the Civil War and the Great Depression.</w:t>
      </w:r>
      <w:bookmarkStart w:id="14" w:name="_Ref455583212"/>
      <w:r w:rsidR="001719FE">
        <w:rPr>
          <w:rStyle w:val="Refdenotaderodap"/>
          <w:sz w:val="24"/>
          <w:szCs w:val="24"/>
          <w:lang w:val="en-US"/>
        </w:rPr>
        <w:footnoteReference w:id="90"/>
      </w:r>
      <w:bookmarkEnd w:id="14"/>
      <w:r w:rsidR="001719FE">
        <w:rPr>
          <w:sz w:val="24"/>
          <w:szCs w:val="24"/>
          <w:lang w:val="en-US"/>
        </w:rPr>
        <w:t xml:space="preserve"> </w:t>
      </w:r>
      <w:r w:rsidR="008A4EFB">
        <w:rPr>
          <w:sz w:val="24"/>
          <w:szCs w:val="24"/>
          <w:lang w:val="en-US"/>
        </w:rPr>
        <w:t>Yet in</w:t>
      </w:r>
      <w:r w:rsidR="0021781F">
        <w:rPr>
          <w:sz w:val="24"/>
          <w:szCs w:val="24"/>
          <w:lang w:val="en-US"/>
        </w:rPr>
        <w:t xml:space="preserve"> contrast to other jurisdictions, Brazil was an early </w:t>
      </w:r>
      <w:r w:rsidR="00D12D2F">
        <w:rPr>
          <w:sz w:val="24"/>
          <w:szCs w:val="24"/>
          <w:lang w:val="en-US"/>
        </w:rPr>
        <w:t xml:space="preserve">adopter of </w:t>
      </w:r>
      <w:r w:rsidR="0037394A">
        <w:rPr>
          <w:sz w:val="24"/>
          <w:szCs w:val="24"/>
          <w:lang w:val="en-US"/>
        </w:rPr>
        <w:t>limited liability</w:t>
      </w:r>
      <w:r w:rsidR="00D13BA4">
        <w:rPr>
          <w:sz w:val="24"/>
          <w:szCs w:val="24"/>
          <w:lang w:val="en-US"/>
        </w:rPr>
        <w:t xml:space="preserve"> generally</w:t>
      </w:r>
      <w:r w:rsidR="0037394A">
        <w:rPr>
          <w:sz w:val="24"/>
          <w:szCs w:val="24"/>
          <w:lang w:val="en-US"/>
        </w:rPr>
        <w:t>, including for financial institutions.</w:t>
      </w:r>
      <w:r w:rsidR="00CC6C3F">
        <w:rPr>
          <w:rStyle w:val="Refdenotaderodap"/>
          <w:sz w:val="24"/>
          <w:szCs w:val="24"/>
          <w:lang w:val="en-US"/>
        </w:rPr>
        <w:footnoteReference w:id="91"/>
      </w:r>
      <w:r w:rsidR="0037394A">
        <w:rPr>
          <w:sz w:val="24"/>
          <w:szCs w:val="24"/>
          <w:lang w:val="en-US"/>
        </w:rPr>
        <w:t xml:space="preserve"> </w:t>
      </w:r>
      <w:r w:rsidR="00201CEE">
        <w:rPr>
          <w:sz w:val="24"/>
          <w:szCs w:val="24"/>
          <w:lang w:val="en-US"/>
        </w:rPr>
        <w:t>Since the</w:t>
      </w:r>
      <w:r w:rsidR="0037394A" w:rsidRPr="0037394A">
        <w:rPr>
          <w:sz w:val="24"/>
          <w:szCs w:val="24"/>
          <w:lang w:val="en-US"/>
        </w:rPr>
        <w:t xml:space="preserve"> Commercial Code of 1850</w:t>
      </w:r>
      <w:r w:rsidR="00201CEE">
        <w:rPr>
          <w:sz w:val="24"/>
          <w:szCs w:val="24"/>
          <w:lang w:val="en-US"/>
        </w:rPr>
        <w:t>, all corporate statutes have</w:t>
      </w:r>
      <w:r w:rsidR="0037394A" w:rsidRPr="0037394A">
        <w:rPr>
          <w:sz w:val="24"/>
          <w:szCs w:val="24"/>
          <w:lang w:val="en-US"/>
        </w:rPr>
        <w:t xml:space="preserve"> made clear that </w:t>
      </w:r>
      <w:r w:rsidR="0037394A">
        <w:rPr>
          <w:sz w:val="24"/>
          <w:szCs w:val="24"/>
          <w:lang w:val="en-US"/>
        </w:rPr>
        <w:t xml:space="preserve">shareholders’ liability </w:t>
      </w:r>
      <w:r w:rsidR="00201CEE">
        <w:rPr>
          <w:sz w:val="24"/>
          <w:szCs w:val="24"/>
          <w:lang w:val="en-US"/>
        </w:rPr>
        <w:t>i</w:t>
      </w:r>
      <w:r w:rsidR="0037394A">
        <w:rPr>
          <w:sz w:val="24"/>
          <w:szCs w:val="24"/>
          <w:lang w:val="en-US"/>
        </w:rPr>
        <w:t>s limited to the value of the shares held or subscribed.</w:t>
      </w:r>
      <w:r w:rsidR="0037394A">
        <w:rPr>
          <w:rStyle w:val="Refdenotaderodap"/>
          <w:sz w:val="24"/>
          <w:szCs w:val="24"/>
          <w:lang w:val="en-US"/>
        </w:rPr>
        <w:footnoteReference w:id="92"/>
      </w:r>
      <w:r w:rsidR="0037394A">
        <w:rPr>
          <w:sz w:val="24"/>
          <w:szCs w:val="24"/>
          <w:lang w:val="en-US"/>
        </w:rPr>
        <w:t xml:space="preserve"> </w:t>
      </w:r>
    </w:p>
    <w:p w:rsidR="00574BA5" w:rsidRDefault="00574BA5" w:rsidP="00574BA5">
      <w:pPr>
        <w:ind w:firstLine="708"/>
        <w:jc w:val="both"/>
        <w:rPr>
          <w:sz w:val="24"/>
          <w:szCs w:val="24"/>
          <w:lang w:val="en-US"/>
        </w:rPr>
      </w:pPr>
      <w:r>
        <w:rPr>
          <w:sz w:val="24"/>
          <w:szCs w:val="24"/>
          <w:lang w:val="en-US"/>
        </w:rPr>
        <w:t>For most of its corporate history, Brazil lacked any doctrine of veil piercing whatsoever</w:t>
      </w:r>
      <w:r w:rsidR="00CF20DA">
        <w:rPr>
          <w:sz w:val="24"/>
          <w:szCs w:val="24"/>
          <w:lang w:val="en-US"/>
        </w:rPr>
        <w:t xml:space="preserve"> beyond the limited imposition of enterprise liability in the labor context.</w:t>
      </w:r>
      <w:r w:rsidR="00CF20DA">
        <w:rPr>
          <w:rStyle w:val="Refdenotaderodap"/>
          <w:sz w:val="24"/>
          <w:szCs w:val="24"/>
          <w:lang w:val="en-US"/>
        </w:rPr>
        <w:footnoteReference w:id="93"/>
      </w:r>
      <w:r w:rsidR="00CF20DA">
        <w:rPr>
          <w:sz w:val="24"/>
          <w:szCs w:val="24"/>
          <w:lang w:val="en-US"/>
        </w:rPr>
        <w:t xml:space="preserve"> </w:t>
      </w:r>
      <w:r>
        <w:rPr>
          <w:sz w:val="24"/>
          <w:szCs w:val="24"/>
          <w:lang w:val="en-US"/>
        </w:rPr>
        <w:t xml:space="preserve">It was not until 1969 that a Brazilian scholar published the first </w:t>
      </w:r>
      <w:r w:rsidR="00201CEE">
        <w:rPr>
          <w:sz w:val="24"/>
          <w:szCs w:val="24"/>
          <w:lang w:val="en-US"/>
        </w:rPr>
        <w:t>work</w:t>
      </w:r>
      <w:r>
        <w:rPr>
          <w:sz w:val="24"/>
          <w:szCs w:val="24"/>
          <w:lang w:val="en-US"/>
        </w:rPr>
        <w:t xml:space="preserve"> on the topic, which denounced how the “absolutism” of legal personality permitted its use for fraudulent purposes. Professor Rubens </w:t>
      </w:r>
      <w:proofErr w:type="spellStart"/>
      <w:r>
        <w:rPr>
          <w:sz w:val="24"/>
          <w:szCs w:val="24"/>
          <w:lang w:val="en-US"/>
        </w:rPr>
        <w:t>Requião</w:t>
      </w:r>
      <w:proofErr w:type="spellEnd"/>
      <w:r>
        <w:rPr>
          <w:sz w:val="24"/>
          <w:szCs w:val="24"/>
          <w:lang w:val="en-US"/>
        </w:rPr>
        <w:t xml:space="preserve"> then advocated the application in Brazil of the</w:t>
      </w:r>
      <w:r w:rsidR="00201CEE">
        <w:rPr>
          <w:sz w:val="24"/>
          <w:szCs w:val="24"/>
          <w:lang w:val="en-US"/>
        </w:rPr>
        <w:t xml:space="preserve"> so-</w:t>
      </w:r>
      <w:r w:rsidR="00201CEE">
        <w:rPr>
          <w:sz w:val="24"/>
          <w:szCs w:val="24"/>
          <w:lang w:val="en-US"/>
        </w:rPr>
        <w:lastRenderedPageBreak/>
        <w:t>called</w:t>
      </w:r>
      <w:r>
        <w:rPr>
          <w:sz w:val="24"/>
          <w:szCs w:val="24"/>
          <w:lang w:val="en-US"/>
        </w:rPr>
        <w:t xml:space="preserve"> “disregard doctrine” of the common law (using the English terminology) to curb such abuses.</w:t>
      </w:r>
      <w:r>
        <w:rPr>
          <w:rStyle w:val="Refdenotaderodap"/>
          <w:sz w:val="24"/>
          <w:szCs w:val="24"/>
          <w:lang w:val="en-US"/>
        </w:rPr>
        <w:footnoteReference w:id="94"/>
      </w:r>
      <w:r>
        <w:rPr>
          <w:sz w:val="24"/>
          <w:szCs w:val="24"/>
          <w:lang w:val="en-US"/>
        </w:rPr>
        <w:t xml:space="preserve"> While this article was highly influential in Brazilian courts—which began applying </w:t>
      </w:r>
      <w:r w:rsidR="003F495D">
        <w:rPr>
          <w:sz w:val="24"/>
          <w:szCs w:val="24"/>
          <w:lang w:val="en-US"/>
        </w:rPr>
        <w:t>the</w:t>
      </w:r>
      <w:r>
        <w:rPr>
          <w:sz w:val="24"/>
          <w:szCs w:val="24"/>
          <w:lang w:val="en-US"/>
        </w:rPr>
        <w:t xml:space="preserve"> doctrine despite the absence of legislative authorization—such embrace of veil piercing was fairly limited, leading to convergence, rather than departure, of Brazilian law vis-à-vis the international norm. </w:t>
      </w:r>
    </w:p>
    <w:p w:rsidR="005B4C50" w:rsidRDefault="005B4C50" w:rsidP="005B4C50">
      <w:pPr>
        <w:ind w:firstLine="708"/>
        <w:jc w:val="both"/>
        <w:rPr>
          <w:sz w:val="24"/>
          <w:szCs w:val="24"/>
          <w:lang w:val="en-US"/>
        </w:rPr>
      </w:pPr>
      <w:r>
        <w:rPr>
          <w:sz w:val="24"/>
          <w:szCs w:val="24"/>
          <w:lang w:val="en-US"/>
        </w:rPr>
        <w:t>However, recent developments</w:t>
      </w:r>
      <w:r w:rsidR="00361F00">
        <w:rPr>
          <w:sz w:val="24"/>
          <w:szCs w:val="24"/>
          <w:lang w:val="en-US"/>
        </w:rPr>
        <w:t xml:space="preserve"> </w:t>
      </w:r>
      <w:r w:rsidR="00C13E3D">
        <w:rPr>
          <w:sz w:val="24"/>
          <w:szCs w:val="24"/>
          <w:lang w:val="en-US"/>
        </w:rPr>
        <w:t xml:space="preserve">accelerating since the 1990s </w:t>
      </w:r>
      <w:r>
        <w:rPr>
          <w:sz w:val="24"/>
          <w:szCs w:val="24"/>
          <w:lang w:val="en-US"/>
        </w:rPr>
        <w:t xml:space="preserve">have significantly eroded the protection of limited liability in Brazil, to the point that in 2014 Brazilian scholar Bruno </w:t>
      </w:r>
      <w:proofErr w:type="spellStart"/>
      <w:r>
        <w:rPr>
          <w:sz w:val="24"/>
          <w:szCs w:val="24"/>
          <w:lang w:val="en-US"/>
        </w:rPr>
        <w:t>Salama</w:t>
      </w:r>
      <w:proofErr w:type="spellEnd"/>
      <w:r>
        <w:rPr>
          <w:sz w:val="24"/>
          <w:szCs w:val="24"/>
          <w:lang w:val="en-US"/>
        </w:rPr>
        <w:t xml:space="preserve"> postulated “the end of limited liability” in </w:t>
      </w:r>
      <w:r w:rsidR="00C30AD3">
        <w:rPr>
          <w:sz w:val="24"/>
          <w:szCs w:val="24"/>
          <w:lang w:val="en-US"/>
        </w:rPr>
        <w:t>the country</w:t>
      </w:r>
      <w:r>
        <w:rPr>
          <w:sz w:val="24"/>
          <w:szCs w:val="24"/>
          <w:lang w:val="en-US"/>
        </w:rPr>
        <w:t>.</w:t>
      </w:r>
      <w:bookmarkStart w:id="15" w:name="_Ref451786219"/>
      <w:r>
        <w:rPr>
          <w:rStyle w:val="Refdenotaderodap"/>
          <w:sz w:val="24"/>
          <w:szCs w:val="24"/>
          <w:lang w:val="en-US"/>
        </w:rPr>
        <w:footnoteReference w:id="95"/>
      </w:r>
      <w:bookmarkEnd w:id="15"/>
      <w:r>
        <w:rPr>
          <w:sz w:val="24"/>
          <w:szCs w:val="24"/>
          <w:lang w:val="en-US"/>
        </w:rPr>
        <w:t xml:space="preserve"> </w:t>
      </w:r>
      <w:r w:rsidR="00361F00">
        <w:rPr>
          <w:sz w:val="24"/>
          <w:szCs w:val="24"/>
          <w:lang w:val="en-US"/>
        </w:rPr>
        <w:t xml:space="preserve">This is not to deny that </w:t>
      </w:r>
      <w:r w:rsidR="00C13E3D">
        <w:rPr>
          <w:sz w:val="24"/>
          <w:szCs w:val="24"/>
          <w:lang w:val="en-US"/>
        </w:rPr>
        <w:t xml:space="preserve">veil-piercing doctrine in </w:t>
      </w:r>
      <w:r w:rsidR="00AB2CA2">
        <w:rPr>
          <w:sz w:val="24"/>
          <w:szCs w:val="24"/>
          <w:lang w:val="en-US"/>
        </w:rPr>
        <w:t>other countries, and especially in the United States</w:t>
      </w:r>
      <w:r w:rsidR="00827BB3">
        <w:rPr>
          <w:sz w:val="24"/>
          <w:szCs w:val="24"/>
          <w:lang w:val="en-US"/>
        </w:rPr>
        <w:t xml:space="preserve">, can </w:t>
      </w:r>
      <w:r w:rsidR="00AB2CA2">
        <w:rPr>
          <w:sz w:val="24"/>
          <w:szCs w:val="24"/>
          <w:lang w:val="en-US"/>
        </w:rPr>
        <w:t>seem</w:t>
      </w:r>
      <w:r w:rsidR="00C13E3D">
        <w:rPr>
          <w:sz w:val="24"/>
          <w:szCs w:val="24"/>
          <w:lang w:val="en-US"/>
        </w:rPr>
        <w:t xml:space="preserve"> messy,</w:t>
      </w:r>
      <w:bookmarkStart w:id="16" w:name="_Ref456624944"/>
      <w:r w:rsidR="005B2400">
        <w:rPr>
          <w:rStyle w:val="Refdenotaderodap"/>
          <w:sz w:val="24"/>
          <w:szCs w:val="24"/>
          <w:lang w:val="en-US"/>
        </w:rPr>
        <w:footnoteReference w:id="96"/>
      </w:r>
      <w:bookmarkEnd w:id="16"/>
      <w:r w:rsidR="00C13E3D">
        <w:rPr>
          <w:sz w:val="24"/>
          <w:szCs w:val="24"/>
          <w:lang w:val="en-US"/>
        </w:rPr>
        <w:t xml:space="preserve"> highly litigated,</w:t>
      </w:r>
      <w:r w:rsidR="00197936" w:rsidRPr="00197936">
        <w:rPr>
          <w:rStyle w:val="Refdenotaderodap"/>
          <w:sz w:val="24"/>
          <w:szCs w:val="24"/>
          <w:lang w:val="en-US"/>
        </w:rPr>
        <w:t xml:space="preserve"> </w:t>
      </w:r>
      <w:bookmarkStart w:id="17" w:name="_Ref456625014"/>
      <w:r w:rsidR="00197936">
        <w:rPr>
          <w:rStyle w:val="Refdenotaderodap"/>
          <w:sz w:val="24"/>
          <w:szCs w:val="24"/>
          <w:lang w:val="en-US"/>
        </w:rPr>
        <w:footnoteReference w:id="97"/>
      </w:r>
      <w:bookmarkEnd w:id="17"/>
      <w:r w:rsidR="00C13E3D">
        <w:rPr>
          <w:sz w:val="24"/>
          <w:szCs w:val="24"/>
          <w:lang w:val="en-US"/>
        </w:rPr>
        <w:t xml:space="preserve"> </w:t>
      </w:r>
      <w:r w:rsidR="00B037F8">
        <w:rPr>
          <w:sz w:val="24"/>
          <w:szCs w:val="24"/>
          <w:lang w:val="en-US"/>
        </w:rPr>
        <w:t xml:space="preserve">as well as </w:t>
      </w:r>
      <w:r w:rsidR="00C13E3D">
        <w:rPr>
          <w:sz w:val="24"/>
          <w:szCs w:val="24"/>
          <w:lang w:val="en-US"/>
        </w:rPr>
        <w:t>controversial</w:t>
      </w:r>
      <w:r w:rsidR="00B037F8">
        <w:rPr>
          <w:sz w:val="24"/>
          <w:szCs w:val="24"/>
          <w:lang w:val="en-US"/>
        </w:rPr>
        <w:t xml:space="preserve"> and </w:t>
      </w:r>
      <w:r w:rsidR="008217D8">
        <w:rPr>
          <w:sz w:val="24"/>
          <w:szCs w:val="24"/>
          <w:lang w:val="en-US"/>
        </w:rPr>
        <w:t xml:space="preserve">even </w:t>
      </w:r>
      <w:r w:rsidR="00B037F8">
        <w:rPr>
          <w:sz w:val="24"/>
          <w:szCs w:val="24"/>
          <w:lang w:val="en-US"/>
        </w:rPr>
        <w:t>alarming.</w:t>
      </w:r>
      <w:bookmarkStart w:id="18" w:name="_Ref464281291"/>
      <w:r w:rsidR="00B037F8">
        <w:rPr>
          <w:rStyle w:val="Refdenotaderodap"/>
          <w:sz w:val="24"/>
          <w:szCs w:val="24"/>
          <w:lang w:val="en-US"/>
        </w:rPr>
        <w:footnoteReference w:id="98"/>
      </w:r>
      <w:bookmarkEnd w:id="18"/>
      <w:r w:rsidR="00574BA5">
        <w:rPr>
          <w:sz w:val="24"/>
          <w:szCs w:val="24"/>
          <w:lang w:val="en-US"/>
        </w:rPr>
        <w:t xml:space="preserve"> </w:t>
      </w:r>
      <w:r w:rsidR="00827BB3">
        <w:rPr>
          <w:sz w:val="24"/>
          <w:szCs w:val="24"/>
          <w:lang w:val="en-US"/>
        </w:rPr>
        <w:t xml:space="preserve">Yet, as we shall see below, there is an important difference </w:t>
      </w:r>
      <w:r w:rsidR="00CE183F">
        <w:rPr>
          <w:sz w:val="24"/>
          <w:szCs w:val="24"/>
          <w:lang w:val="en-US"/>
        </w:rPr>
        <w:t>of degree with respect to</w:t>
      </w:r>
      <w:r w:rsidR="00574BA5">
        <w:rPr>
          <w:sz w:val="24"/>
          <w:szCs w:val="24"/>
          <w:lang w:val="en-US"/>
        </w:rPr>
        <w:t xml:space="preserve"> the willingness of legislators and courts to do away with limited liability</w:t>
      </w:r>
      <w:r w:rsidR="00B037F8">
        <w:rPr>
          <w:sz w:val="24"/>
          <w:szCs w:val="24"/>
          <w:lang w:val="en-US"/>
        </w:rPr>
        <w:t xml:space="preserve"> in Brazil</w:t>
      </w:r>
      <w:r w:rsidR="000915A7">
        <w:rPr>
          <w:sz w:val="24"/>
          <w:szCs w:val="24"/>
          <w:lang w:val="en-US"/>
        </w:rPr>
        <w:t>. While scholars have claimed that veil piercing “occurs with more frequency in the United States than anywhere else in the world,” arguably due to the effect of the common law,</w:t>
      </w:r>
      <w:bookmarkStart w:id="19" w:name="_Ref463880096"/>
      <w:r w:rsidR="00E72471">
        <w:rPr>
          <w:rStyle w:val="Refdenotaderodap"/>
          <w:sz w:val="24"/>
          <w:szCs w:val="24"/>
          <w:lang w:val="en-US"/>
        </w:rPr>
        <w:footnoteReference w:id="99"/>
      </w:r>
      <w:bookmarkEnd w:id="19"/>
      <w:r w:rsidR="000915A7">
        <w:rPr>
          <w:sz w:val="24"/>
          <w:szCs w:val="24"/>
          <w:lang w:val="en-US"/>
        </w:rPr>
        <w:t xml:space="preserve"> </w:t>
      </w:r>
      <w:r w:rsidR="00E72471">
        <w:rPr>
          <w:sz w:val="24"/>
          <w:szCs w:val="24"/>
          <w:lang w:val="en-US"/>
        </w:rPr>
        <w:t xml:space="preserve">we will see that the U.S. approach pales when compared to </w:t>
      </w:r>
      <w:proofErr w:type="gramStart"/>
      <w:r w:rsidR="00E72471">
        <w:rPr>
          <w:sz w:val="24"/>
          <w:szCs w:val="24"/>
          <w:lang w:val="en-US"/>
        </w:rPr>
        <w:t>Brazil’s</w:t>
      </w:r>
      <w:proofErr w:type="gramEnd"/>
      <w:r w:rsidR="00E72471">
        <w:rPr>
          <w:sz w:val="24"/>
          <w:szCs w:val="24"/>
          <w:lang w:val="en-US"/>
        </w:rPr>
        <w:t xml:space="preserve">. </w:t>
      </w:r>
      <w:proofErr w:type="gramStart"/>
      <w:r w:rsidR="009049FA">
        <w:rPr>
          <w:sz w:val="24"/>
          <w:szCs w:val="24"/>
          <w:lang w:val="en-US"/>
        </w:rPr>
        <w:t>While U.S. scholars have found between circa 9,000 and 11,000 cases in electronic databases,</w:t>
      </w:r>
      <w:r w:rsidR="00201CEE">
        <w:rPr>
          <w:rStyle w:val="Refdenotaderodap"/>
          <w:sz w:val="24"/>
          <w:szCs w:val="24"/>
          <w:lang w:val="en-US"/>
        </w:rPr>
        <w:footnoteReference w:id="100"/>
      </w:r>
      <w:r w:rsidR="009049FA">
        <w:rPr>
          <w:sz w:val="24"/>
          <w:szCs w:val="24"/>
          <w:lang w:val="en-US"/>
        </w:rPr>
        <w:t xml:space="preserve"> searches for the term in the websites in the Court of Appeals in the State of São Paulo (TJSP) and in the Regional Labor Court for the Second Region (Tribunal Regional do </w:t>
      </w:r>
      <w:proofErr w:type="spellStart"/>
      <w:r w:rsidR="009049FA">
        <w:rPr>
          <w:sz w:val="24"/>
          <w:szCs w:val="24"/>
          <w:lang w:val="en-US"/>
        </w:rPr>
        <w:t>Trabalho</w:t>
      </w:r>
      <w:proofErr w:type="spellEnd"/>
      <w:r w:rsidR="009049FA">
        <w:rPr>
          <w:sz w:val="24"/>
          <w:szCs w:val="24"/>
          <w:lang w:val="en-US"/>
        </w:rPr>
        <w:t xml:space="preserve"> da </w:t>
      </w:r>
      <w:proofErr w:type="spellStart"/>
      <w:r w:rsidR="009049FA">
        <w:rPr>
          <w:sz w:val="24"/>
          <w:szCs w:val="24"/>
          <w:lang w:val="en-US"/>
        </w:rPr>
        <w:t>segunda</w:t>
      </w:r>
      <w:proofErr w:type="spellEnd"/>
      <w:r w:rsidR="009049FA">
        <w:rPr>
          <w:sz w:val="24"/>
          <w:szCs w:val="24"/>
          <w:lang w:val="en-US"/>
        </w:rPr>
        <w:t xml:space="preserve"> </w:t>
      </w:r>
      <w:proofErr w:type="spellStart"/>
      <w:r w:rsidR="009049FA">
        <w:rPr>
          <w:sz w:val="24"/>
          <w:szCs w:val="24"/>
          <w:lang w:val="en-US"/>
        </w:rPr>
        <w:t>região</w:t>
      </w:r>
      <w:proofErr w:type="spellEnd"/>
      <w:r w:rsidR="009049FA">
        <w:rPr>
          <w:sz w:val="24"/>
          <w:szCs w:val="24"/>
          <w:lang w:val="en-US"/>
        </w:rPr>
        <w:t xml:space="preserve">), which includes São Paulo, unearthed nearly 34,000 and 14,000 </w:t>
      </w:r>
      <w:r w:rsidR="00BC56EC">
        <w:rPr>
          <w:sz w:val="24"/>
          <w:szCs w:val="24"/>
          <w:lang w:val="en-US"/>
        </w:rPr>
        <w:t>judicial o</w:t>
      </w:r>
      <w:r w:rsidR="001B0417">
        <w:rPr>
          <w:sz w:val="24"/>
          <w:szCs w:val="24"/>
          <w:lang w:val="en-US"/>
        </w:rPr>
        <w:t>pinions addressing</w:t>
      </w:r>
      <w:r w:rsidR="00BC56EC">
        <w:rPr>
          <w:sz w:val="24"/>
          <w:szCs w:val="24"/>
          <w:lang w:val="en-US"/>
        </w:rPr>
        <w:t xml:space="preserve"> this topic</w:t>
      </w:r>
      <w:r w:rsidR="00613C58">
        <w:rPr>
          <w:sz w:val="24"/>
          <w:szCs w:val="24"/>
          <w:lang w:val="en-US"/>
        </w:rPr>
        <w:t>, respectively</w:t>
      </w:r>
      <w:r w:rsidR="009049FA">
        <w:rPr>
          <w:sz w:val="24"/>
          <w:szCs w:val="24"/>
          <w:lang w:val="en-US"/>
        </w:rPr>
        <w:t>.</w:t>
      </w:r>
      <w:r w:rsidR="00FE22C8">
        <w:rPr>
          <w:rStyle w:val="Refdenotaderodap"/>
          <w:sz w:val="24"/>
          <w:szCs w:val="24"/>
          <w:lang w:val="en-US"/>
        </w:rPr>
        <w:footnoteReference w:id="101"/>
      </w:r>
      <w:proofErr w:type="gramEnd"/>
      <w:r w:rsidR="009049FA">
        <w:rPr>
          <w:sz w:val="24"/>
          <w:szCs w:val="24"/>
          <w:lang w:val="en-US"/>
        </w:rPr>
        <w:t xml:space="preserve"> </w:t>
      </w:r>
    </w:p>
    <w:p w:rsidR="001D4441" w:rsidRPr="002D09BC" w:rsidRDefault="00FA1BA4" w:rsidP="00574BA5">
      <w:pPr>
        <w:ind w:firstLine="708"/>
        <w:jc w:val="both"/>
        <w:rPr>
          <w:sz w:val="24"/>
          <w:szCs w:val="24"/>
          <w:lang w:val="en-US"/>
        </w:rPr>
      </w:pPr>
      <w:r>
        <w:rPr>
          <w:sz w:val="24"/>
          <w:szCs w:val="24"/>
          <w:lang w:val="en-US"/>
        </w:rPr>
        <w:lastRenderedPageBreak/>
        <w:t xml:space="preserve">The first </w:t>
      </w:r>
      <w:r w:rsidR="001A40FD">
        <w:rPr>
          <w:sz w:val="24"/>
          <w:szCs w:val="24"/>
          <w:lang w:val="en-US"/>
        </w:rPr>
        <w:t>restriction to</w:t>
      </w:r>
      <w:r>
        <w:rPr>
          <w:sz w:val="24"/>
          <w:szCs w:val="24"/>
          <w:lang w:val="en-US"/>
        </w:rPr>
        <w:t xml:space="preserve"> </w:t>
      </w:r>
      <w:r w:rsidR="00051739">
        <w:rPr>
          <w:sz w:val="24"/>
          <w:szCs w:val="24"/>
          <w:lang w:val="en-US"/>
        </w:rPr>
        <w:t>limited</w:t>
      </w:r>
      <w:r w:rsidR="00C83831">
        <w:rPr>
          <w:sz w:val="24"/>
          <w:szCs w:val="24"/>
          <w:lang w:val="en-US"/>
        </w:rPr>
        <w:t xml:space="preserve"> liability </w:t>
      </w:r>
      <w:r>
        <w:rPr>
          <w:sz w:val="24"/>
          <w:szCs w:val="24"/>
          <w:lang w:val="en-US"/>
        </w:rPr>
        <w:t>date</w:t>
      </w:r>
      <w:r w:rsidR="00654D2C">
        <w:rPr>
          <w:sz w:val="24"/>
          <w:szCs w:val="24"/>
          <w:lang w:val="en-US"/>
        </w:rPr>
        <w:t>s</w:t>
      </w:r>
      <w:r>
        <w:rPr>
          <w:sz w:val="24"/>
          <w:szCs w:val="24"/>
          <w:lang w:val="en-US"/>
        </w:rPr>
        <w:t xml:space="preserve"> </w:t>
      </w:r>
      <w:r w:rsidR="00C83831">
        <w:rPr>
          <w:sz w:val="24"/>
          <w:szCs w:val="24"/>
          <w:lang w:val="en-US"/>
        </w:rPr>
        <w:t>back to</w:t>
      </w:r>
      <w:r w:rsidR="005E7157">
        <w:rPr>
          <w:sz w:val="24"/>
          <w:szCs w:val="24"/>
          <w:lang w:val="en-US"/>
        </w:rPr>
        <w:t xml:space="preserve"> </w:t>
      </w:r>
      <w:r w:rsidR="001D7F74">
        <w:rPr>
          <w:sz w:val="24"/>
          <w:szCs w:val="24"/>
          <w:lang w:val="en-US"/>
        </w:rPr>
        <w:t>Brazil’s Labor Law of 1943 (</w:t>
      </w:r>
      <w:proofErr w:type="spellStart"/>
      <w:r w:rsidR="001D7F74">
        <w:rPr>
          <w:i/>
          <w:sz w:val="24"/>
          <w:szCs w:val="24"/>
          <w:lang w:val="en-US"/>
        </w:rPr>
        <w:t>Consolidação</w:t>
      </w:r>
      <w:proofErr w:type="spellEnd"/>
      <w:r w:rsidR="001D7F74">
        <w:rPr>
          <w:i/>
          <w:sz w:val="24"/>
          <w:szCs w:val="24"/>
          <w:lang w:val="en-US"/>
        </w:rPr>
        <w:t xml:space="preserve"> das Leis do </w:t>
      </w:r>
      <w:proofErr w:type="spellStart"/>
      <w:r w:rsidR="001D7F74">
        <w:rPr>
          <w:i/>
          <w:sz w:val="24"/>
          <w:szCs w:val="24"/>
          <w:lang w:val="en-US"/>
        </w:rPr>
        <w:t>Trabalho</w:t>
      </w:r>
      <w:proofErr w:type="spellEnd"/>
      <w:r w:rsidR="001D7F74">
        <w:rPr>
          <w:i/>
          <w:sz w:val="24"/>
          <w:szCs w:val="24"/>
          <w:lang w:val="en-US"/>
        </w:rPr>
        <w:t xml:space="preserve"> – CLT</w:t>
      </w:r>
      <w:r w:rsidR="00C83831">
        <w:rPr>
          <w:sz w:val="24"/>
          <w:szCs w:val="24"/>
          <w:lang w:val="en-US"/>
        </w:rPr>
        <w:t>).</w:t>
      </w:r>
      <w:r w:rsidR="00A67F74" w:rsidRPr="00FD6B58">
        <w:rPr>
          <w:rStyle w:val="Refdenotaderodap"/>
          <w:sz w:val="24"/>
          <w:szCs w:val="24"/>
        </w:rPr>
        <w:footnoteReference w:id="102"/>
      </w:r>
      <w:r w:rsidR="008B4E23" w:rsidRPr="008B4E23">
        <w:rPr>
          <w:sz w:val="24"/>
          <w:szCs w:val="24"/>
          <w:lang w:val="en-US"/>
        </w:rPr>
        <w:t xml:space="preserve"> </w:t>
      </w:r>
      <w:r w:rsidR="00C83831">
        <w:rPr>
          <w:sz w:val="24"/>
          <w:szCs w:val="24"/>
          <w:lang w:val="en-US"/>
        </w:rPr>
        <w:t>T</w:t>
      </w:r>
      <w:r w:rsidR="00051739">
        <w:rPr>
          <w:sz w:val="24"/>
          <w:szCs w:val="24"/>
          <w:lang w:val="en-US"/>
        </w:rPr>
        <w:t>he</w:t>
      </w:r>
      <w:r w:rsidR="00383255">
        <w:rPr>
          <w:sz w:val="24"/>
          <w:szCs w:val="24"/>
          <w:lang w:val="en-US"/>
        </w:rPr>
        <w:t xml:space="preserve"> statute</w:t>
      </w:r>
      <w:r w:rsidR="00C83831">
        <w:rPr>
          <w:sz w:val="24"/>
          <w:szCs w:val="24"/>
          <w:lang w:val="en-US"/>
        </w:rPr>
        <w:t>, which is still in force,</w:t>
      </w:r>
      <w:r w:rsidR="00383255">
        <w:rPr>
          <w:sz w:val="24"/>
          <w:szCs w:val="24"/>
          <w:lang w:val="en-US"/>
        </w:rPr>
        <w:t xml:space="preserve"> provides</w:t>
      </w:r>
      <w:r w:rsidR="008B4E23" w:rsidRPr="008B4E23">
        <w:rPr>
          <w:sz w:val="24"/>
          <w:szCs w:val="24"/>
          <w:lang w:val="en-US"/>
        </w:rPr>
        <w:t xml:space="preserve"> </w:t>
      </w:r>
      <w:r w:rsidR="00E55B30">
        <w:rPr>
          <w:sz w:val="24"/>
          <w:szCs w:val="24"/>
          <w:lang w:val="en-US"/>
        </w:rPr>
        <w:t xml:space="preserve">a version of enterprise liability: </w:t>
      </w:r>
      <w:r w:rsidR="008B4E23" w:rsidRPr="008B4E23">
        <w:rPr>
          <w:sz w:val="24"/>
          <w:szCs w:val="24"/>
          <w:lang w:val="en-US"/>
        </w:rPr>
        <w:t>that</w:t>
      </w:r>
      <w:r w:rsidR="00E55B30">
        <w:rPr>
          <w:sz w:val="24"/>
          <w:szCs w:val="24"/>
          <w:lang w:val="en-US"/>
        </w:rPr>
        <w:t xml:space="preserve"> is,</w:t>
      </w:r>
      <w:r w:rsidR="00A901D5">
        <w:rPr>
          <w:sz w:val="24"/>
          <w:szCs w:val="24"/>
          <w:lang w:val="en-US"/>
        </w:rPr>
        <w:t xml:space="preserve"> whenever one or more firms are under the control of another, constituting an industrial or commercial group, the parent and the subsidiaries will be jointly and severally liable for labor obligations. </w:t>
      </w:r>
      <w:r w:rsidR="00BB6EC3">
        <w:rPr>
          <w:sz w:val="24"/>
          <w:szCs w:val="24"/>
          <w:lang w:val="en-US"/>
        </w:rPr>
        <w:t>This m</w:t>
      </w:r>
      <w:r w:rsidR="00523667">
        <w:rPr>
          <w:sz w:val="24"/>
          <w:szCs w:val="24"/>
          <w:lang w:val="en-US"/>
        </w:rPr>
        <w:t xml:space="preserve">eant that, for labor purposes, asset boundaries </w:t>
      </w:r>
      <w:proofErr w:type="gramStart"/>
      <w:r w:rsidR="00523667">
        <w:rPr>
          <w:sz w:val="24"/>
          <w:szCs w:val="24"/>
          <w:lang w:val="en-US"/>
        </w:rPr>
        <w:t>were</w:t>
      </w:r>
      <w:r w:rsidR="00383255">
        <w:rPr>
          <w:sz w:val="24"/>
          <w:szCs w:val="24"/>
          <w:lang w:val="en-US"/>
        </w:rPr>
        <w:t xml:space="preserve"> </w:t>
      </w:r>
      <w:r w:rsidR="00BB6EC3">
        <w:rPr>
          <w:sz w:val="24"/>
          <w:szCs w:val="24"/>
          <w:lang w:val="en-US"/>
        </w:rPr>
        <w:t>eliminated</w:t>
      </w:r>
      <w:proofErr w:type="gramEnd"/>
      <w:r w:rsidR="00BB6EC3">
        <w:rPr>
          <w:sz w:val="24"/>
          <w:szCs w:val="24"/>
          <w:lang w:val="en-US"/>
        </w:rPr>
        <w:t xml:space="preserve"> within the group, but not outside of it.</w:t>
      </w:r>
      <w:r w:rsidR="007B34FC">
        <w:rPr>
          <w:rStyle w:val="Refdenotaderodap"/>
          <w:sz w:val="24"/>
          <w:szCs w:val="24"/>
          <w:lang w:val="en-US"/>
        </w:rPr>
        <w:footnoteReference w:id="103"/>
      </w:r>
      <w:r w:rsidR="00BB6EC3">
        <w:rPr>
          <w:sz w:val="24"/>
          <w:szCs w:val="24"/>
          <w:lang w:val="en-US"/>
        </w:rPr>
        <w:t xml:space="preserve"> </w:t>
      </w:r>
    </w:p>
    <w:p w:rsidR="003E4513" w:rsidRPr="00CE73BB" w:rsidRDefault="00051739" w:rsidP="001D4441">
      <w:pPr>
        <w:ind w:firstLine="708"/>
        <w:jc w:val="both"/>
        <w:rPr>
          <w:sz w:val="24"/>
          <w:szCs w:val="24"/>
          <w:lang w:val="en-US"/>
        </w:rPr>
      </w:pPr>
      <w:r>
        <w:rPr>
          <w:sz w:val="24"/>
          <w:szCs w:val="24"/>
          <w:lang w:val="en-US"/>
        </w:rPr>
        <w:t xml:space="preserve">This </w:t>
      </w:r>
      <w:r w:rsidR="005A0F86">
        <w:rPr>
          <w:sz w:val="24"/>
          <w:szCs w:val="24"/>
          <w:lang w:val="en-US"/>
        </w:rPr>
        <w:t xml:space="preserve">labor law </w:t>
      </w:r>
      <w:r>
        <w:rPr>
          <w:sz w:val="24"/>
          <w:szCs w:val="24"/>
          <w:lang w:val="en-US"/>
        </w:rPr>
        <w:t xml:space="preserve">rule </w:t>
      </w:r>
      <w:r w:rsidR="00B65C4B">
        <w:rPr>
          <w:sz w:val="24"/>
          <w:szCs w:val="24"/>
          <w:lang w:val="en-US"/>
        </w:rPr>
        <w:t>initially</w:t>
      </w:r>
      <w:r w:rsidR="007A7313">
        <w:rPr>
          <w:sz w:val="24"/>
          <w:szCs w:val="24"/>
          <w:lang w:val="en-US"/>
        </w:rPr>
        <w:t xml:space="preserve"> did not </w:t>
      </w:r>
      <w:r w:rsidR="00BE7B94">
        <w:rPr>
          <w:sz w:val="24"/>
          <w:szCs w:val="24"/>
          <w:lang w:val="en-US"/>
        </w:rPr>
        <w:t>impinge</w:t>
      </w:r>
      <w:r w:rsidR="00D31E4D">
        <w:rPr>
          <w:sz w:val="24"/>
          <w:szCs w:val="24"/>
          <w:lang w:val="en-US"/>
        </w:rPr>
        <w:t xml:space="preserve"> on</w:t>
      </w:r>
      <w:r w:rsidR="007A7313">
        <w:rPr>
          <w:sz w:val="24"/>
          <w:szCs w:val="24"/>
          <w:lang w:val="en-US"/>
        </w:rPr>
        <w:t xml:space="preserve"> the protection of limited liability enjoyed by </w:t>
      </w:r>
      <w:r w:rsidR="0006491D">
        <w:rPr>
          <w:sz w:val="24"/>
          <w:szCs w:val="24"/>
          <w:lang w:val="en-US"/>
        </w:rPr>
        <w:t>individual controlling or minority shareholders.</w:t>
      </w:r>
      <w:r w:rsidR="007B34FC">
        <w:rPr>
          <w:sz w:val="24"/>
          <w:szCs w:val="24"/>
          <w:lang w:val="en-US"/>
        </w:rPr>
        <w:t xml:space="preserve"> </w:t>
      </w:r>
      <w:r w:rsidR="00B65C4B">
        <w:rPr>
          <w:sz w:val="24"/>
          <w:szCs w:val="24"/>
          <w:lang w:val="en-US"/>
        </w:rPr>
        <w:t>However, despite the narrow and clear</w:t>
      </w:r>
      <w:r>
        <w:rPr>
          <w:sz w:val="24"/>
          <w:szCs w:val="24"/>
          <w:lang w:val="en-US"/>
        </w:rPr>
        <w:t xml:space="preserve"> statutory language</w:t>
      </w:r>
      <w:r w:rsidR="009939DD">
        <w:rPr>
          <w:sz w:val="24"/>
          <w:szCs w:val="24"/>
          <w:lang w:val="en-US"/>
        </w:rPr>
        <w:t xml:space="preserve">, </w:t>
      </w:r>
      <w:r w:rsidR="00FF1009">
        <w:rPr>
          <w:sz w:val="24"/>
          <w:szCs w:val="24"/>
          <w:lang w:val="en-US"/>
        </w:rPr>
        <w:t xml:space="preserve">labor </w:t>
      </w:r>
      <w:r w:rsidR="009939DD">
        <w:rPr>
          <w:sz w:val="24"/>
          <w:szCs w:val="24"/>
          <w:lang w:val="en-US"/>
        </w:rPr>
        <w:t>courts in the 1970s and 1980s began holding individual shareholders</w:t>
      </w:r>
      <w:r w:rsidR="00D03958">
        <w:rPr>
          <w:sz w:val="24"/>
          <w:szCs w:val="24"/>
          <w:lang w:val="en-US"/>
        </w:rPr>
        <w:t xml:space="preserve"> (including, at times, minority shareholders)</w:t>
      </w:r>
      <w:r w:rsidR="009939DD">
        <w:rPr>
          <w:sz w:val="24"/>
          <w:szCs w:val="24"/>
          <w:lang w:val="en-US"/>
        </w:rPr>
        <w:t xml:space="preserve"> liable for the company’s labor obligations</w:t>
      </w:r>
      <w:r w:rsidR="001D4441">
        <w:rPr>
          <w:sz w:val="24"/>
          <w:szCs w:val="24"/>
          <w:lang w:val="en-US"/>
        </w:rPr>
        <w:t xml:space="preserve">, </w:t>
      </w:r>
      <w:r w:rsidR="009939DD">
        <w:rPr>
          <w:sz w:val="24"/>
          <w:szCs w:val="24"/>
          <w:lang w:val="en-US"/>
        </w:rPr>
        <w:t xml:space="preserve">a position that became </w:t>
      </w:r>
      <w:r w:rsidR="00D31E4D">
        <w:rPr>
          <w:sz w:val="24"/>
          <w:szCs w:val="24"/>
          <w:lang w:val="en-US"/>
        </w:rPr>
        <w:t>dominant</w:t>
      </w:r>
      <w:r w:rsidR="009939DD">
        <w:rPr>
          <w:sz w:val="24"/>
          <w:szCs w:val="24"/>
          <w:lang w:val="en-US"/>
        </w:rPr>
        <w:t xml:space="preserve"> in the last decades.</w:t>
      </w:r>
      <w:r w:rsidR="00B6619E">
        <w:rPr>
          <w:rStyle w:val="Refdenotaderodap"/>
          <w:sz w:val="24"/>
          <w:szCs w:val="24"/>
          <w:lang w:val="en-US"/>
        </w:rPr>
        <w:footnoteReference w:id="104"/>
      </w:r>
      <w:r w:rsidR="003E4513">
        <w:rPr>
          <w:sz w:val="24"/>
          <w:szCs w:val="24"/>
          <w:lang w:val="en-US"/>
        </w:rPr>
        <w:t xml:space="preserve"> </w:t>
      </w:r>
      <w:r>
        <w:rPr>
          <w:sz w:val="24"/>
          <w:szCs w:val="24"/>
          <w:lang w:val="en-US"/>
        </w:rPr>
        <w:t xml:space="preserve">In fact, labor courts </w:t>
      </w:r>
      <w:r w:rsidR="001D4441">
        <w:rPr>
          <w:sz w:val="24"/>
          <w:szCs w:val="24"/>
          <w:lang w:val="en-US"/>
        </w:rPr>
        <w:t xml:space="preserve">have gone further to impose joint and several liability </w:t>
      </w:r>
      <w:r w:rsidR="00654D2C">
        <w:rPr>
          <w:sz w:val="24"/>
          <w:szCs w:val="24"/>
          <w:lang w:val="en-US"/>
        </w:rPr>
        <w:t>on</w:t>
      </w:r>
      <w:r w:rsidR="001D4441">
        <w:rPr>
          <w:sz w:val="24"/>
          <w:szCs w:val="24"/>
          <w:lang w:val="en-US"/>
        </w:rPr>
        <w:t xml:space="preserve"> companies</w:t>
      </w:r>
      <w:r w:rsidR="00654D2C">
        <w:rPr>
          <w:sz w:val="24"/>
          <w:szCs w:val="24"/>
          <w:lang w:val="en-US"/>
        </w:rPr>
        <w:t xml:space="preserve"> </w:t>
      </w:r>
      <w:r w:rsidR="009C4355">
        <w:rPr>
          <w:sz w:val="24"/>
          <w:szCs w:val="24"/>
          <w:lang w:val="en-US"/>
        </w:rPr>
        <w:t xml:space="preserve">that </w:t>
      </w:r>
      <w:r w:rsidR="001D4441">
        <w:rPr>
          <w:sz w:val="24"/>
          <w:szCs w:val="24"/>
          <w:lang w:val="en-US"/>
        </w:rPr>
        <w:t xml:space="preserve">have the same shareholder, even if not controlling—a regime that </w:t>
      </w:r>
      <w:r w:rsidR="005B2F46">
        <w:rPr>
          <w:sz w:val="24"/>
          <w:szCs w:val="24"/>
          <w:lang w:val="en-US"/>
        </w:rPr>
        <w:t xml:space="preserve">is especially troublesome for </w:t>
      </w:r>
      <w:r w:rsidR="001D4441">
        <w:rPr>
          <w:sz w:val="24"/>
          <w:szCs w:val="24"/>
          <w:lang w:val="en-US"/>
        </w:rPr>
        <w:t xml:space="preserve">the private equity </w:t>
      </w:r>
      <w:r w:rsidR="005B2F46">
        <w:rPr>
          <w:sz w:val="24"/>
          <w:szCs w:val="24"/>
          <w:lang w:val="en-US"/>
        </w:rPr>
        <w:t>and venture capital industries</w:t>
      </w:r>
      <w:r w:rsidR="001D4441">
        <w:rPr>
          <w:sz w:val="24"/>
          <w:szCs w:val="24"/>
          <w:lang w:val="en-US"/>
        </w:rPr>
        <w:t>.</w:t>
      </w:r>
      <w:bookmarkStart w:id="20" w:name="_Ref456194277"/>
      <w:r w:rsidR="001D4441">
        <w:rPr>
          <w:rStyle w:val="Refdenotaderodap"/>
          <w:sz w:val="24"/>
          <w:szCs w:val="24"/>
          <w:lang w:val="en-US"/>
        </w:rPr>
        <w:footnoteReference w:id="105"/>
      </w:r>
      <w:bookmarkEnd w:id="20"/>
      <w:r w:rsidR="003204EC">
        <w:rPr>
          <w:sz w:val="24"/>
          <w:szCs w:val="24"/>
          <w:lang w:val="en-US"/>
        </w:rPr>
        <w:t xml:space="preserve"> Veil piercing in labor claims assumes special significance in view of the extraordinarily high </w:t>
      </w:r>
      <w:r w:rsidR="000D1CD6">
        <w:rPr>
          <w:sz w:val="24"/>
          <w:szCs w:val="24"/>
          <w:lang w:val="en-US"/>
        </w:rPr>
        <w:t>volume</w:t>
      </w:r>
      <w:r w:rsidR="003204EC">
        <w:rPr>
          <w:sz w:val="24"/>
          <w:szCs w:val="24"/>
          <w:lang w:val="en-US"/>
        </w:rPr>
        <w:t xml:space="preserve"> of litigation in labor courts,</w:t>
      </w:r>
      <w:r w:rsidR="00415EF0">
        <w:rPr>
          <w:sz w:val="24"/>
          <w:szCs w:val="24"/>
          <w:lang w:val="en-US"/>
        </w:rPr>
        <w:t xml:space="preserve"> in which employers bear the burden of proof and workers typically prevail</w:t>
      </w:r>
      <w:r w:rsidR="003204EC">
        <w:rPr>
          <w:sz w:val="24"/>
          <w:szCs w:val="24"/>
          <w:lang w:val="en-US"/>
        </w:rPr>
        <w:t>.</w:t>
      </w:r>
      <w:r w:rsidR="005366F2">
        <w:rPr>
          <w:rStyle w:val="Refdenotaderodap"/>
          <w:sz w:val="24"/>
          <w:szCs w:val="24"/>
          <w:lang w:val="en-US"/>
        </w:rPr>
        <w:footnoteReference w:id="106"/>
      </w:r>
      <w:r w:rsidR="003204EC">
        <w:rPr>
          <w:sz w:val="24"/>
          <w:szCs w:val="24"/>
          <w:lang w:val="en-US"/>
        </w:rPr>
        <w:t xml:space="preserve"> </w:t>
      </w:r>
    </w:p>
    <w:p w:rsidR="00D6161F" w:rsidRPr="001C7938" w:rsidRDefault="00A56C80" w:rsidP="00260800">
      <w:pPr>
        <w:ind w:firstLine="708"/>
        <w:jc w:val="both"/>
        <w:rPr>
          <w:sz w:val="24"/>
          <w:szCs w:val="24"/>
          <w:u w:val="single"/>
          <w:lang w:val="en-US"/>
        </w:rPr>
      </w:pPr>
      <w:proofErr w:type="gramStart"/>
      <w:r>
        <w:rPr>
          <w:sz w:val="24"/>
          <w:szCs w:val="24"/>
          <w:lang w:val="en-US"/>
        </w:rPr>
        <w:t>Arguably</w:t>
      </w:r>
      <w:proofErr w:type="gramEnd"/>
      <w:r>
        <w:rPr>
          <w:sz w:val="24"/>
          <w:szCs w:val="24"/>
          <w:lang w:val="en-US"/>
        </w:rPr>
        <w:t xml:space="preserve"> the first statutory encroachment into limited liability of individual shareholders took place in 1987.</w:t>
      </w:r>
      <w:r w:rsidR="00382CD3">
        <w:rPr>
          <w:rStyle w:val="Refdenotaderodap"/>
          <w:sz w:val="24"/>
          <w:szCs w:val="24"/>
          <w:lang w:val="en-US"/>
        </w:rPr>
        <w:footnoteReference w:id="107"/>
      </w:r>
      <w:r>
        <w:rPr>
          <w:sz w:val="24"/>
          <w:szCs w:val="24"/>
          <w:lang w:val="en-US"/>
        </w:rPr>
        <w:t xml:space="preserve"> By law, financial institutions in Brazil must </w:t>
      </w:r>
      <w:r>
        <w:rPr>
          <w:sz w:val="24"/>
          <w:szCs w:val="24"/>
          <w:lang w:val="en-US"/>
        </w:rPr>
        <w:lastRenderedPageBreak/>
        <w:t>necessarily adopt the corporate form.</w:t>
      </w:r>
      <w:r w:rsidR="00382CD3">
        <w:rPr>
          <w:rStyle w:val="Refdenotaderodap"/>
          <w:sz w:val="24"/>
          <w:szCs w:val="24"/>
          <w:lang w:val="en-US"/>
        </w:rPr>
        <w:footnoteReference w:id="108"/>
      </w:r>
      <w:r w:rsidR="001D4441">
        <w:rPr>
          <w:sz w:val="24"/>
          <w:szCs w:val="24"/>
          <w:lang w:val="en-US"/>
        </w:rPr>
        <w:t xml:space="preserve"> The </w:t>
      </w:r>
      <w:r>
        <w:rPr>
          <w:sz w:val="24"/>
          <w:szCs w:val="24"/>
          <w:lang w:val="en-US"/>
        </w:rPr>
        <w:t>statute provide</w:t>
      </w:r>
      <w:r w:rsidR="001D4441">
        <w:rPr>
          <w:sz w:val="24"/>
          <w:szCs w:val="24"/>
          <w:lang w:val="en-US"/>
        </w:rPr>
        <w:t>s</w:t>
      </w:r>
      <w:r>
        <w:rPr>
          <w:sz w:val="24"/>
          <w:szCs w:val="24"/>
          <w:lang w:val="en-US"/>
        </w:rPr>
        <w:t xml:space="preserve"> that the controlling shareholders of financial institutions—be </w:t>
      </w:r>
      <w:r w:rsidR="003D3B25">
        <w:rPr>
          <w:sz w:val="24"/>
          <w:szCs w:val="24"/>
          <w:lang w:val="en-US"/>
        </w:rPr>
        <w:t>they</w:t>
      </w:r>
      <w:r>
        <w:rPr>
          <w:sz w:val="24"/>
          <w:szCs w:val="24"/>
          <w:lang w:val="en-US"/>
        </w:rPr>
        <w:t xml:space="preserve"> individuals or legal persons—are jointly and severally liable with managers for the outstanding debts when the institutions become subject to Central Bank intervention, as in the ca</w:t>
      </w:r>
      <w:r w:rsidR="000E6A95">
        <w:rPr>
          <w:sz w:val="24"/>
          <w:szCs w:val="24"/>
          <w:lang w:val="en-US"/>
        </w:rPr>
        <w:t xml:space="preserve">se of insolvency or wrongdoing. </w:t>
      </w:r>
    </w:p>
    <w:p w:rsidR="00092FA1" w:rsidRDefault="001D4441" w:rsidP="00D6161F">
      <w:pPr>
        <w:ind w:firstLine="708"/>
        <w:jc w:val="both"/>
        <w:rPr>
          <w:sz w:val="24"/>
          <w:szCs w:val="24"/>
          <w:lang w:val="en-US"/>
        </w:rPr>
      </w:pPr>
      <w:r>
        <w:rPr>
          <w:sz w:val="24"/>
          <w:szCs w:val="24"/>
          <w:lang w:val="en-US"/>
        </w:rPr>
        <w:t>The statute explicitly provides that such liability</w:t>
      </w:r>
      <w:r w:rsidR="00A56C80">
        <w:rPr>
          <w:sz w:val="24"/>
          <w:szCs w:val="24"/>
          <w:lang w:val="en-US"/>
        </w:rPr>
        <w:t xml:space="preserve"> </w:t>
      </w:r>
      <w:proofErr w:type="gramStart"/>
      <w:r w:rsidR="00A56C80">
        <w:rPr>
          <w:sz w:val="24"/>
          <w:szCs w:val="24"/>
          <w:lang w:val="en-US"/>
        </w:rPr>
        <w:t>accrues</w:t>
      </w:r>
      <w:proofErr w:type="gramEnd"/>
      <w:r w:rsidR="00A56C80">
        <w:rPr>
          <w:sz w:val="24"/>
          <w:szCs w:val="24"/>
          <w:lang w:val="en-US"/>
        </w:rPr>
        <w:t xml:space="preserve"> irrespective of negligence or willful misconduct.</w:t>
      </w:r>
      <w:r w:rsidR="00A56C80">
        <w:rPr>
          <w:rStyle w:val="Refdenotaderodap"/>
          <w:sz w:val="24"/>
          <w:szCs w:val="24"/>
          <w:lang w:val="en-US"/>
        </w:rPr>
        <w:footnoteReference w:id="109"/>
      </w:r>
      <w:r w:rsidR="00A56C80">
        <w:rPr>
          <w:sz w:val="24"/>
          <w:szCs w:val="24"/>
          <w:lang w:val="en-US"/>
        </w:rPr>
        <w:t xml:space="preserve"> This rule exten</w:t>
      </w:r>
      <w:r>
        <w:rPr>
          <w:sz w:val="24"/>
          <w:szCs w:val="24"/>
          <w:lang w:val="en-US"/>
        </w:rPr>
        <w:t>ded to controlling shareholders, as well as strengthened, the already strict</w:t>
      </w:r>
      <w:r w:rsidR="00A56C80">
        <w:rPr>
          <w:sz w:val="24"/>
          <w:szCs w:val="24"/>
          <w:lang w:val="en-US"/>
        </w:rPr>
        <w:t xml:space="preserve"> rule app</w:t>
      </w:r>
      <w:r w:rsidR="00205EEE">
        <w:rPr>
          <w:sz w:val="24"/>
          <w:szCs w:val="24"/>
          <w:lang w:val="en-US"/>
        </w:rPr>
        <w:t>licable to managers since 1974. According to the statute, the directors and officers of financial institutions are jointly and severally liable for the obligations assumed during their tenure, and their personal assets become</w:t>
      </w:r>
      <w:r w:rsidR="00A56C80">
        <w:rPr>
          <w:sz w:val="24"/>
          <w:szCs w:val="24"/>
          <w:lang w:val="en-US"/>
        </w:rPr>
        <w:t xml:space="preserve"> inalienable when the institution becomes subject to intervention or insolvency proceedings.</w:t>
      </w:r>
      <w:r w:rsidR="00A56C80">
        <w:rPr>
          <w:rStyle w:val="Refdenotaderodap"/>
          <w:sz w:val="24"/>
          <w:szCs w:val="24"/>
          <w:lang w:val="en-US"/>
        </w:rPr>
        <w:footnoteReference w:id="110"/>
      </w:r>
      <w:r w:rsidR="00C01CA2">
        <w:rPr>
          <w:sz w:val="24"/>
          <w:szCs w:val="24"/>
          <w:lang w:val="en-US"/>
        </w:rPr>
        <w:t xml:space="preserve"> A 1997 statute extended the liabilit</w:t>
      </w:r>
      <w:r w:rsidR="008D7663">
        <w:rPr>
          <w:sz w:val="24"/>
          <w:szCs w:val="24"/>
          <w:lang w:val="en-US"/>
        </w:rPr>
        <w:t>y of controlling shareholders to</w:t>
      </w:r>
      <w:r w:rsidR="00C01CA2">
        <w:rPr>
          <w:sz w:val="24"/>
          <w:szCs w:val="24"/>
          <w:lang w:val="en-US"/>
        </w:rPr>
        <w:t xml:space="preserve"> other cases of intervention and liquidation.</w:t>
      </w:r>
      <w:r w:rsidR="00C01CA2">
        <w:rPr>
          <w:rStyle w:val="Refdenotaderodap"/>
          <w:sz w:val="24"/>
          <w:szCs w:val="24"/>
          <w:lang w:val="en-US"/>
        </w:rPr>
        <w:footnoteReference w:id="111"/>
      </w:r>
      <w:r w:rsidR="00C01CA2">
        <w:rPr>
          <w:sz w:val="24"/>
          <w:szCs w:val="24"/>
          <w:lang w:val="en-US"/>
        </w:rPr>
        <w:t xml:space="preserve"> </w:t>
      </w:r>
      <w:r w:rsidR="00A56C80">
        <w:rPr>
          <w:sz w:val="24"/>
          <w:szCs w:val="24"/>
          <w:lang w:val="en-US"/>
        </w:rPr>
        <w:t xml:space="preserve"> </w:t>
      </w:r>
    </w:p>
    <w:p w:rsidR="00D6161F" w:rsidRDefault="00A56C80" w:rsidP="00D6161F">
      <w:pPr>
        <w:ind w:firstLine="708"/>
        <w:jc w:val="both"/>
        <w:rPr>
          <w:sz w:val="24"/>
          <w:szCs w:val="24"/>
          <w:lang w:val="en-US"/>
        </w:rPr>
      </w:pPr>
      <w:r>
        <w:rPr>
          <w:sz w:val="24"/>
          <w:szCs w:val="24"/>
          <w:lang w:val="en-US"/>
        </w:rPr>
        <w:t xml:space="preserve">In view of this, a fair reading of the law is that </w:t>
      </w:r>
      <w:r w:rsidR="00EA067A">
        <w:rPr>
          <w:sz w:val="24"/>
          <w:szCs w:val="24"/>
          <w:lang w:val="en-US"/>
        </w:rPr>
        <w:t xml:space="preserve">neither managers nor </w:t>
      </w:r>
      <w:r>
        <w:rPr>
          <w:sz w:val="24"/>
          <w:szCs w:val="24"/>
          <w:lang w:val="en-US"/>
        </w:rPr>
        <w:t xml:space="preserve">controlling shareholders </w:t>
      </w:r>
      <w:r w:rsidR="00822866">
        <w:rPr>
          <w:sz w:val="24"/>
          <w:szCs w:val="24"/>
          <w:lang w:val="en-US"/>
        </w:rPr>
        <w:t>of financial institutions</w:t>
      </w:r>
      <w:r w:rsidR="001B3D9C">
        <w:rPr>
          <w:sz w:val="24"/>
          <w:szCs w:val="24"/>
          <w:lang w:val="en-US"/>
        </w:rPr>
        <w:t xml:space="preserve"> </w:t>
      </w:r>
      <w:r>
        <w:rPr>
          <w:sz w:val="24"/>
          <w:szCs w:val="24"/>
          <w:lang w:val="en-US"/>
        </w:rPr>
        <w:t>enjoy limited liability.</w:t>
      </w:r>
      <w:bookmarkStart w:id="21" w:name="_Ref454958917"/>
      <w:r>
        <w:rPr>
          <w:rStyle w:val="Refdenotaderodap"/>
          <w:sz w:val="24"/>
          <w:szCs w:val="24"/>
          <w:lang w:val="en-US"/>
        </w:rPr>
        <w:footnoteReference w:id="112"/>
      </w:r>
      <w:bookmarkEnd w:id="21"/>
      <w:r>
        <w:rPr>
          <w:sz w:val="24"/>
          <w:szCs w:val="24"/>
          <w:lang w:val="en-US"/>
        </w:rPr>
        <w:t xml:space="preserve"> </w:t>
      </w:r>
      <w:r w:rsidR="00F06587">
        <w:rPr>
          <w:sz w:val="24"/>
          <w:szCs w:val="24"/>
          <w:lang w:val="en-US"/>
        </w:rPr>
        <w:t>As a prominent Brazilian economist and former governor of the Central Bank put it, in Brazil “there is no ‘principle of limited liability’ in the financial system.”</w:t>
      </w:r>
      <w:bookmarkStart w:id="22" w:name="_Ref456106983"/>
      <w:r w:rsidR="00F06587">
        <w:rPr>
          <w:rStyle w:val="Refdenotaderodap"/>
          <w:sz w:val="24"/>
          <w:szCs w:val="24"/>
          <w:lang w:val="en-US"/>
        </w:rPr>
        <w:footnoteReference w:id="113"/>
      </w:r>
      <w:bookmarkEnd w:id="22"/>
      <w:r w:rsidR="00092FA1">
        <w:rPr>
          <w:sz w:val="24"/>
          <w:szCs w:val="24"/>
          <w:lang w:val="en-US"/>
        </w:rPr>
        <w:t xml:space="preserve"> </w:t>
      </w:r>
      <w:proofErr w:type="gramStart"/>
      <w:r w:rsidR="00C04245">
        <w:rPr>
          <w:sz w:val="24"/>
          <w:szCs w:val="24"/>
          <w:lang w:val="en-US"/>
        </w:rPr>
        <w:t xml:space="preserve">An </w:t>
      </w:r>
      <w:r w:rsidR="00092FA1">
        <w:rPr>
          <w:sz w:val="24"/>
          <w:szCs w:val="24"/>
          <w:lang w:val="en-US"/>
        </w:rPr>
        <w:t>illustrative example was the</w:t>
      </w:r>
      <w:r w:rsidR="00C04245">
        <w:rPr>
          <w:sz w:val="24"/>
          <w:szCs w:val="24"/>
          <w:lang w:val="en-US"/>
        </w:rPr>
        <w:t xml:space="preserve"> </w:t>
      </w:r>
      <w:r w:rsidR="00ED2DEA">
        <w:rPr>
          <w:sz w:val="24"/>
          <w:szCs w:val="24"/>
          <w:lang w:val="en-US"/>
        </w:rPr>
        <w:t xml:space="preserve">accounting fraud and near failure of </w:t>
      </w:r>
      <w:r w:rsidR="00755A57">
        <w:rPr>
          <w:sz w:val="24"/>
          <w:szCs w:val="24"/>
          <w:lang w:val="en-US"/>
        </w:rPr>
        <w:t xml:space="preserve">Banco </w:t>
      </w:r>
      <w:proofErr w:type="spellStart"/>
      <w:r w:rsidR="00755A57">
        <w:rPr>
          <w:sz w:val="24"/>
          <w:szCs w:val="24"/>
          <w:lang w:val="en-US"/>
        </w:rPr>
        <w:t>Pan</w:t>
      </w:r>
      <w:r w:rsidR="00CA0961">
        <w:rPr>
          <w:sz w:val="24"/>
          <w:szCs w:val="24"/>
          <w:lang w:val="en-US"/>
        </w:rPr>
        <w:t>A</w:t>
      </w:r>
      <w:r w:rsidR="00092FA1">
        <w:rPr>
          <w:sz w:val="24"/>
          <w:szCs w:val="24"/>
          <w:lang w:val="en-US"/>
        </w:rPr>
        <w:t>mericano</w:t>
      </w:r>
      <w:proofErr w:type="spellEnd"/>
      <w:r w:rsidR="00092FA1">
        <w:rPr>
          <w:sz w:val="24"/>
          <w:szCs w:val="24"/>
          <w:lang w:val="en-US"/>
        </w:rPr>
        <w:t xml:space="preserve">, whose controlling shareholder was </w:t>
      </w:r>
      <w:r w:rsidR="00755A57">
        <w:rPr>
          <w:sz w:val="24"/>
          <w:szCs w:val="24"/>
          <w:lang w:val="en-US"/>
        </w:rPr>
        <w:t xml:space="preserve">TV </w:t>
      </w:r>
      <w:r w:rsidR="00092FA1">
        <w:rPr>
          <w:sz w:val="24"/>
          <w:szCs w:val="24"/>
          <w:lang w:val="en-US"/>
        </w:rPr>
        <w:t>host and tycoon Silvio Santos.</w:t>
      </w:r>
      <w:proofErr w:type="gramEnd"/>
      <w:r w:rsidR="00092FA1">
        <w:rPr>
          <w:sz w:val="24"/>
          <w:szCs w:val="24"/>
          <w:lang w:val="en-US"/>
        </w:rPr>
        <w:t xml:space="preserve"> Even though Silvio Santos was not in any way involved </w:t>
      </w:r>
      <w:r w:rsidR="00755A57">
        <w:rPr>
          <w:sz w:val="24"/>
          <w:szCs w:val="24"/>
          <w:lang w:val="en-US"/>
        </w:rPr>
        <w:t xml:space="preserve">in the management of the bank, </w:t>
      </w:r>
      <w:r w:rsidR="00092FA1">
        <w:rPr>
          <w:sz w:val="24"/>
          <w:szCs w:val="24"/>
          <w:lang w:val="en-US"/>
        </w:rPr>
        <w:t xml:space="preserve">he ended up providing shares in </w:t>
      </w:r>
      <w:r w:rsidR="00CA0961">
        <w:rPr>
          <w:sz w:val="24"/>
          <w:szCs w:val="24"/>
          <w:lang w:val="en-US"/>
        </w:rPr>
        <w:t xml:space="preserve">34 </w:t>
      </w:r>
      <w:r w:rsidR="005B38BE">
        <w:rPr>
          <w:sz w:val="24"/>
          <w:szCs w:val="24"/>
          <w:lang w:val="en-US"/>
        </w:rPr>
        <w:t xml:space="preserve">firms </w:t>
      </w:r>
      <w:r w:rsidR="00CA0961">
        <w:rPr>
          <w:sz w:val="24"/>
          <w:szCs w:val="24"/>
          <w:lang w:val="en-US"/>
        </w:rPr>
        <w:t>as collateral</w:t>
      </w:r>
      <w:r w:rsidR="00092FA1">
        <w:rPr>
          <w:sz w:val="24"/>
          <w:szCs w:val="24"/>
          <w:lang w:val="en-US"/>
        </w:rPr>
        <w:t xml:space="preserve"> for a loan from Brazil’s Deposit Insurance Fund (</w:t>
      </w:r>
      <w:r w:rsidR="00092FA1" w:rsidRPr="00DE6E5B">
        <w:rPr>
          <w:i/>
          <w:sz w:val="24"/>
          <w:szCs w:val="24"/>
          <w:lang w:val="en-US"/>
        </w:rPr>
        <w:t xml:space="preserve">Fundo </w:t>
      </w:r>
      <w:proofErr w:type="spellStart"/>
      <w:r w:rsidR="00092FA1" w:rsidRPr="00DE6E5B">
        <w:rPr>
          <w:i/>
          <w:sz w:val="24"/>
          <w:szCs w:val="24"/>
          <w:lang w:val="en-US"/>
        </w:rPr>
        <w:t>Garantidor</w:t>
      </w:r>
      <w:proofErr w:type="spellEnd"/>
      <w:r w:rsidR="00092FA1" w:rsidRPr="00DE6E5B">
        <w:rPr>
          <w:i/>
          <w:sz w:val="24"/>
          <w:szCs w:val="24"/>
          <w:lang w:val="en-US"/>
        </w:rPr>
        <w:t xml:space="preserve"> de </w:t>
      </w:r>
      <w:proofErr w:type="spellStart"/>
      <w:r w:rsidR="00092FA1" w:rsidRPr="00DE6E5B">
        <w:rPr>
          <w:i/>
          <w:sz w:val="24"/>
          <w:szCs w:val="24"/>
          <w:lang w:val="en-US"/>
        </w:rPr>
        <w:t>Crédito</w:t>
      </w:r>
      <w:proofErr w:type="spellEnd"/>
      <w:r w:rsidR="00092FA1">
        <w:rPr>
          <w:sz w:val="24"/>
          <w:szCs w:val="24"/>
          <w:lang w:val="en-US"/>
        </w:rPr>
        <w:t>—FGC)</w:t>
      </w:r>
      <w:r w:rsidR="00FB2A57">
        <w:rPr>
          <w:sz w:val="24"/>
          <w:szCs w:val="24"/>
          <w:lang w:val="en-US"/>
        </w:rPr>
        <w:t xml:space="preserve"> to save </w:t>
      </w:r>
      <w:r w:rsidR="00FB2A57">
        <w:rPr>
          <w:sz w:val="24"/>
          <w:szCs w:val="24"/>
          <w:lang w:val="en-US"/>
        </w:rPr>
        <w:lastRenderedPageBreak/>
        <w:t>the institution</w:t>
      </w:r>
      <w:r w:rsidR="00092FA1">
        <w:rPr>
          <w:sz w:val="24"/>
          <w:szCs w:val="24"/>
          <w:lang w:val="en-US"/>
        </w:rPr>
        <w:t xml:space="preserve">. This prevented the bank from undergoing formal </w:t>
      </w:r>
      <w:r w:rsidR="00C42E17">
        <w:rPr>
          <w:sz w:val="24"/>
          <w:szCs w:val="24"/>
          <w:lang w:val="en-US"/>
        </w:rPr>
        <w:t xml:space="preserve">liquidation or </w:t>
      </w:r>
      <w:r w:rsidR="00755A57">
        <w:rPr>
          <w:sz w:val="24"/>
          <w:szCs w:val="24"/>
          <w:lang w:val="en-US"/>
        </w:rPr>
        <w:t>intervention</w:t>
      </w:r>
      <w:r w:rsidR="00092FA1">
        <w:rPr>
          <w:sz w:val="24"/>
          <w:szCs w:val="24"/>
          <w:lang w:val="en-US"/>
        </w:rPr>
        <w:t xml:space="preserve"> by the Central Bank, which would </w:t>
      </w:r>
      <w:r w:rsidR="00960156">
        <w:rPr>
          <w:sz w:val="24"/>
          <w:szCs w:val="24"/>
          <w:lang w:val="en-US"/>
        </w:rPr>
        <w:t xml:space="preserve">have </w:t>
      </w:r>
      <w:r w:rsidR="00092FA1">
        <w:rPr>
          <w:sz w:val="24"/>
          <w:szCs w:val="24"/>
          <w:lang w:val="en-US"/>
        </w:rPr>
        <w:t>result</w:t>
      </w:r>
      <w:r w:rsidR="00960156">
        <w:rPr>
          <w:sz w:val="24"/>
          <w:szCs w:val="24"/>
          <w:lang w:val="en-US"/>
        </w:rPr>
        <w:t>ed</w:t>
      </w:r>
      <w:r w:rsidR="00092FA1">
        <w:rPr>
          <w:sz w:val="24"/>
          <w:szCs w:val="24"/>
          <w:lang w:val="en-US"/>
        </w:rPr>
        <w:t xml:space="preserve"> in his personal liability.</w:t>
      </w:r>
      <w:r w:rsidR="00360270">
        <w:rPr>
          <w:rStyle w:val="Refdenotaderodap"/>
          <w:sz w:val="24"/>
          <w:szCs w:val="24"/>
          <w:lang w:val="en-US"/>
        </w:rPr>
        <w:footnoteReference w:id="114"/>
      </w:r>
    </w:p>
    <w:p w:rsidR="00A56C80" w:rsidRDefault="00205EEE" w:rsidP="00D6161F">
      <w:pPr>
        <w:ind w:firstLine="708"/>
        <w:jc w:val="both"/>
        <w:rPr>
          <w:sz w:val="24"/>
          <w:szCs w:val="24"/>
          <w:lang w:val="en-US"/>
        </w:rPr>
      </w:pPr>
      <w:r>
        <w:rPr>
          <w:sz w:val="24"/>
          <w:szCs w:val="24"/>
          <w:lang w:val="en-US"/>
        </w:rPr>
        <w:t xml:space="preserve">Another significant </w:t>
      </w:r>
      <w:r w:rsidR="00A56C80">
        <w:rPr>
          <w:sz w:val="24"/>
          <w:szCs w:val="24"/>
          <w:lang w:val="en-US"/>
        </w:rPr>
        <w:t xml:space="preserve">statutory exception to limited liability </w:t>
      </w:r>
      <w:r>
        <w:rPr>
          <w:sz w:val="24"/>
          <w:szCs w:val="24"/>
          <w:lang w:val="en-US"/>
        </w:rPr>
        <w:t>c</w:t>
      </w:r>
      <w:r w:rsidR="00CB01D0">
        <w:rPr>
          <w:sz w:val="24"/>
          <w:szCs w:val="24"/>
          <w:lang w:val="en-US"/>
        </w:rPr>
        <w:t>omes</w:t>
      </w:r>
      <w:r>
        <w:rPr>
          <w:sz w:val="24"/>
          <w:szCs w:val="24"/>
          <w:lang w:val="en-US"/>
        </w:rPr>
        <w:t xml:space="preserve"> </w:t>
      </w:r>
      <w:r w:rsidR="00A56C80">
        <w:rPr>
          <w:sz w:val="24"/>
          <w:szCs w:val="24"/>
          <w:lang w:val="en-US"/>
        </w:rPr>
        <w:t>from the Consumer Protection Code of 1990. The relevant provision is the fifth and last para</w:t>
      </w:r>
      <w:r w:rsidR="00D6161F">
        <w:rPr>
          <w:sz w:val="24"/>
          <w:szCs w:val="24"/>
          <w:lang w:val="en-US"/>
        </w:rPr>
        <w:t xml:space="preserve">graph of Art. </w:t>
      </w:r>
      <w:proofErr w:type="gramStart"/>
      <w:r w:rsidR="00D6161F">
        <w:rPr>
          <w:sz w:val="24"/>
          <w:szCs w:val="24"/>
          <w:lang w:val="en-US"/>
        </w:rPr>
        <w:t>28</w:t>
      </w:r>
      <w:proofErr w:type="gramEnd"/>
      <w:r w:rsidR="00D6161F">
        <w:rPr>
          <w:sz w:val="24"/>
          <w:szCs w:val="24"/>
          <w:lang w:val="en-US"/>
        </w:rPr>
        <w:t xml:space="preserve"> of the statute</w:t>
      </w:r>
      <w:r w:rsidR="00465251">
        <w:rPr>
          <w:sz w:val="24"/>
          <w:szCs w:val="24"/>
          <w:lang w:val="en-US"/>
        </w:rPr>
        <w:t>, which states</w:t>
      </w:r>
      <w:r w:rsidR="00A56C80">
        <w:rPr>
          <w:sz w:val="24"/>
          <w:szCs w:val="24"/>
          <w:lang w:val="en-US"/>
        </w:rPr>
        <w:t xml:space="preserve"> that a judge may also disregard the legal entity “whenever its personality is, in any way, an obstacle to the compensation of harm caused to consumers.”</w:t>
      </w:r>
      <w:r w:rsidR="00DE3DA3">
        <w:rPr>
          <w:rStyle w:val="Refdenotaderodap"/>
          <w:sz w:val="24"/>
          <w:szCs w:val="24"/>
          <w:lang w:val="en-US"/>
        </w:rPr>
        <w:footnoteReference w:id="115"/>
      </w:r>
      <w:r w:rsidR="00A56C80">
        <w:rPr>
          <w:sz w:val="24"/>
          <w:szCs w:val="24"/>
          <w:lang w:val="en-US"/>
        </w:rPr>
        <w:t xml:space="preserve"> Curiously, </w:t>
      </w:r>
      <w:r w:rsidR="00CA4019">
        <w:rPr>
          <w:sz w:val="24"/>
          <w:szCs w:val="24"/>
          <w:lang w:val="en-US"/>
        </w:rPr>
        <w:t>the</w:t>
      </w:r>
      <w:r w:rsidR="00A56C80">
        <w:rPr>
          <w:sz w:val="24"/>
          <w:szCs w:val="24"/>
          <w:lang w:val="en-US"/>
        </w:rPr>
        <w:t xml:space="preserve"> enactment </w:t>
      </w:r>
      <w:r w:rsidR="00CA4019">
        <w:rPr>
          <w:sz w:val="24"/>
          <w:szCs w:val="24"/>
          <w:lang w:val="en-US"/>
        </w:rPr>
        <w:t xml:space="preserve">of this rule may </w:t>
      </w:r>
      <w:r w:rsidR="00A56C80">
        <w:rPr>
          <w:sz w:val="24"/>
          <w:szCs w:val="24"/>
          <w:lang w:val="en-US"/>
        </w:rPr>
        <w:t>well have been inadvertent. Scholars involved in the matter have argued that this extreme rule was supposed to have received a presidential veto, but, due to a typographical error, the veto</w:t>
      </w:r>
      <w:r w:rsidR="00D6161F">
        <w:rPr>
          <w:sz w:val="24"/>
          <w:szCs w:val="24"/>
          <w:lang w:val="en-US"/>
        </w:rPr>
        <w:t xml:space="preserve"> message</w:t>
      </w:r>
      <w:r w:rsidR="00A56C80">
        <w:rPr>
          <w:sz w:val="24"/>
          <w:szCs w:val="24"/>
          <w:lang w:val="en-US"/>
        </w:rPr>
        <w:t xml:space="preserve"> mentioned the first paragraph of Art. </w:t>
      </w:r>
      <w:proofErr w:type="gramStart"/>
      <w:r w:rsidR="00A56C80">
        <w:rPr>
          <w:sz w:val="24"/>
          <w:szCs w:val="24"/>
          <w:lang w:val="en-US"/>
        </w:rPr>
        <w:t>28</w:t>
      </w:r>
      <w:proofErr w:type="gramEnd"/>
      <w:r w:rsidR="00A56C80">
        <w:rPr>
          <w:sz w:val="24"/>
          <w:szCs w:val="24"/>
          <w:lang w:val="en-US"/>
        </w:rPr>
        <w:t xml:space="preserve"> instead.</w:t>
      </w:r>
      <w:r w:rsidR="00F533FF">
        <w:rPr>
          <w:rStyle w:val="Refdenotaderodap"/>
          <w:sz w:val="24"/>
          <w:szCs w:val="24"/>
          <w:lang w:val="en-US"/>
        </w:rPr>
        <w:footnoteReference w:id="116"/>
      </w:r>
      <w:r w:rsidR="00A56C80">
        <w:rPr>
          <w:sz w:val="24"/>
          <w:szCs w:val="24"/>
          <w:lang w:val="en-US"/>
        </w:rPr>
        <w:t xml:space="preserve"> </w:t>
      </w:r>
    </w:p>
    <w:p w:rsidR="00080975" w:rsidRDefault="007A321C" w:rsidP="00157779">
      <w:pPr>
        <w:ind w:firstLine="708"/>
        <w:jc w:val="both"/>
        <w:rPr>
          <w:sz w:val="24"/>
          <w:szCs w:val="24"/>
          <w:lang w:val="en-US"/>
        </w:rPr>
      </w:pPr>
      <w:r>
        <w:rPr>
          <w:sz w:val="24"/>
          <w:szCs w:val="24"/>
          <w:lang w:val="en-US"/>
        </w:rPr>
        <w:t>This provision</w:t>
      </w:r>
      <w:r w:rsidR="00A56C80">
        <w:rPr>
          <w:sz w:val="24"/>
          <w:szCs w:val="24"/>
          <w:lang w:val="en-US"/>
        </w:rPr>
        <w:t xml:space="preserve"> generated significant doctrinal controversy, with most scholars defending a purposive interpretation according to which </w:t>
      </w:r>
      <w:r w:rsidR="00C468DF">
        <w:rPr>
          <w:sz w:val="24"/>
          <w:szCs w:val="24"/>
          <w:lang w:val="en-US"/>
        </w:rPr>
        <w:t>paragraph</w:t>
      </w:r>
      <w:r w:rsidR="00A56C80">
        <w:rPr>
          <w:sz w:val="24"/>
          <w:szCs w:val="24"/>
          <w:lang w:val="en-US"/>
        </w:rPr>
        <w:t xml:space="preserve"> </w:t>
      </w:r>
      <w:proofErr w:type="gramStart"/>
      <w:r w:rsidR="00A56C80">
        <w:rPr>
          <w:sz w:val="24"/>
          <w:szCs w:val="24"/>
          <w:lang w:val="en-US"/>
        </w:rPr>
        <w:t>5</w:t>
      </w:r>
      <w:proofErr w:type="gramEnd"/>
      <w:r w:rsidR="00A56C80">
        <w:rPr>
          <w:sz w:val="24"/>
          <w:szCs w:val="24"/>
          <w:lang w:val="en-US"/>
        </w:rPr>
        <w:t xml:space="preserve"> did not permit veil piercing in the absence of fraud or abuse.</w:t>
      </w:r>
      <w:r w:rsidR="001764DA">
        <w:rPr>
          <w:rStyle w:val="Refdenotaderodap"/>
          <w:sz w:val="24"/>
          <w:szCs w:val="24"/>
          <w:lang w:val="en-US"/>
        </w:rPr>
        <w:footnoteReference w:id="117"/>
      </w:r>
      <w:r w:rsidR="00A56C80">
        <w:rPr>
          <w:sz w:val="24"/>
          <w:szCs w:val="24"/>
          <w:lang w:val="en-US"/>
        </w:rPr>
        <w:t xml:space="preserve"> Nevertheless, courts embraced a literal reading of the statute. </w:t>
      </w:r>
      <w:r w:rsidR="00914E62">
        <w:rPr>
          <w:sz w:val="24"/>
          <w:szCs w:val="24"/>
          <w:lang w:val="en-US"/>
        </w:rPr>
        <w:t>The leading case on this issue involved</w:t>
      </w:r>
      <w:r w:rsidR="00A56C80">
        <w:rPr>
          <w:sz w:val="24"/>
          <w:szCs w:val="24"/>
          <w:lang w:val="en-US"/>
        </w:rPr>
        <w:t xml:space="preserve"> a tragic explosion in a shopping mall, wh</w:t>
      </w:r>
      <w:r w:rsidR="004336FF">
        <w:rPr>
          <w:sz w:val="24"/>
          <w:szCs w:val="24"/>
          <w:lang w:val="en-US"/>
        </w:rPr>
        <w:t xml:space="preserve">ich killed or injured numerous </w:t>
      </w:r>
      <w:r w:rsidR="00A56C80">
        <w:rPr>
          <w:sz w:val="24"/>
          <w:szCs w:val="24"/>
          <w:lang w:val="en-US"/>
        </w:rPr>
        <w:t>bys</w:t>
      </w:r>
      <w:r w:rsidR="004336FF">
        <w:rPr>
          <w:sz w:val="24"/>
          <w:szCs w:val="24"/>
          <w:lang w:val="en-US"/>
        </w:rPr>
        <w:t>tanders</w:t>
      </w:r>
      <w:r w:rsidR="00A56C80">
        <w:rPr>
          <w:sz w:val="24"/>
          <w:szCs w:val="24"/>
          <w:lang w:val="en-US"/>
        </w:rPr>
        <w:t xml:space="preserve">. </w:t>
      </w:r>
      <w:r w:rsidR="003F3C19">
        <w:rPr>
          <w:sz w:val="24"/>
          <w:szCs w:val="24"/>
          <w:lang w:val="en-US"/>
        </w:rPr>
        <w:t xml:space="preserve">In a split </w:t>
      </w:r>
      <w:r w:rsidR="00FE55AE">
        <w:rPr>
          <w:sz w:val="24"/>
          <w:szCs w:val="24"/>
          <w:lang w:val="en-US"/>
        </w:rPr>
        <w:t>opinion</w:t>
      </w:r>
      <w:r w:rsidR="003F3C19">
        <w:rPr>
          <w:sz w:val="24"/>
          <w:szCs w:val="24"/>
          <w:lang w:val="en-US"/>
        </w:rPr>
        <w:t>, the</w:t>
      </w:r>
      <w:r w:rsidR="00A56C80">
        <w:rPr>
          <w:sz w:val="24"/>
          <w:szCs w:val="24"/>
          <w:lang w:val="en-US"/>
        </w:rPr>
        <w:t xml:space="preserve"> </w:t>
      </w:r>
      <w:r w:rsidR="00FE55AE">
        <w:rPr>
          <w:sz w:val="24"/>
          <w:szCs w:val="24"/>
          <w:lang w:val="en-US"/>
        </w:rPr>
        <w:t>STJ</w:t>
      </w:r>
      <w:r w:rsidR="00A56C80">
        <w:rPr>
          <w:sz w:val="24"/>
          <w:szCs w:val="24"/>
          <w:lang w:val="en-US"/>
        </w:rPr>
        <w:t xml:space="preserve"> d</w:t>
      </w:r>
      <w:r w:rsidR="00FE55AE">
        <w:rPr>
          <w:sz w:val="24"/>
          <w:szCs w:val="24"/>
          <w:lang w:val="en-US"/>
        </w:rPr>
        <w:t>ecide</w:t>
      </w:r>
      <w:r w:rsidR="00157779">
        <w:rPr>
          <w:sz w:val="24"/>
          <w:szCs w:val="24"/>
          <w:lang w:val="en-US"/>
        </w:rPr>
        <w:t>d</w:t>
      </w:r>
      <w:r w:rsidR="00FE55AE">
        <w:rPr>
          <w:sz w:val="24"/>
          <w:szCs w:val="24"/>
          <w:lang w:val="en-US"/>
        </w:rPr>
        <w:t xml:space="preserve"> to d</w:t>
      </w:r>
      <w:r w:rsidR="00A56C80">
        <w:rPr>
          <w:sz w:val="24"/>
          <w:szCs w:val="24"/>
          <w:lang w:val="en-US"/>
        </w:rPr>
        <w:t>isregard</w:t>
      </w:r>
      <w:r w:rsidR="00FE55AE">
        <w:rPr>
          <w:sz w:val="24"/>
          <w:szCs w:val="24"/>
          <w:lang w:val="en-US"/>
        </w:rPr>
        <w:t xml:space="preserve"> </w:t>
      </w:r>
      <w:r w:rsidR="00A56C80">
        <w:rPr>
          <w:sz w:val="24"/>
          <w:szCs w:val="24"/>
          <w:lang w:val="en-US"/>
        </w:rPr>
        <w:t xml:space="preserve">the legal </w:t>
      </w:r>
      <w:r w:rsidR="002D543A">
        <w:rPr>
          <w:sz w:val="24"/>
          <w:szCs w:val="24"/>
          <w:lang w:val="en-US"/>
        </w:rPr>
        <w:t xml:space="preserve">entity of the shopping mall, a </w:t>
      </w:r>
      <w:proofErr w:type="spellStart"/>
      <w:r w:rsidR="002D543A">
        <w:rPr>
          <w:i/>
          <w:sz w:val="24"/>
          <w:szCs w:val="24"/>
          <w:lang w:val="en-US"/>
        </w:rPr>
        <w:t>l</w:t>
      </w:r>
      <w:r w:rsidR="00A56C80">
        <w:rPr>
          <w:i/>
          <w:sz w:val="24"/>
          <w:szCs w:val="24"/>
          <w:lang w:val="en-US"/>
        </w:rPr>
        <w:t>imitada</w:t>
      </w:r>
      <w:proofErr w:type="spellEnd"/>
      <w:r w:rsidR="00A56C80">
        <w:rPr>
          <w:sz w:val="24"/>
          <w:szCs w:val="24"/>
          <w:lang w:val="en-US"/>
        </w:rPr>
        <w:t>,</w:t>
      </w:r>
      <w:r w:rsidR="002D543A">
        <w:rPr>
          <w:sz w:val="24"/>
          <w:szCs w:val="24"/>
          <w:lang w:val="en-US"/>
        </w:rPr>
        <w:t xml:space="preserve"> as well as its holding corporation,</w:t>
      </w:r>
      <w:r w:rsidR="00FE55AE">
        <w:rPr>
          <w:sz w:val="24"/>
          <w:szCs w:val="24"/>
          <w:lang w:val="en-US"/>
        </w:rPr>
        <w:t xml:space="preserve"> to hold</w:t>
      </w:r>
      <w:r w:rsidR="00A56C80">
        <w:rPr>
          <w:sz w:val="24"/>
          <w:szCs w:val="24"/>
          <w:lang w:val="en-US"/>
        </w:rPr>
        <w:t xml:space="preserve"> </w:t>
      </w:r>
      <w:r w:rsidR="002D543A">
        <w:rPr>
          <w:sz w:val="24"/>
          <w:szCs w:val="24"/>
          <w:lang w:val="en-US"/>
        </w:rPr>
        <w:t>their managers</w:t>
      </w:r>
      <w:r w:rsidR="00A56C80">
        <w:rPr>
          <w:sz w:val="24"/>
          <w:szCs w:val="24"/>
          <w:lang w:val="en-US"/>
        </w:rPr>
        <w:t xml:space="preserve"> liable for the damages caused. </w:t>
      </w:r>
      <w:r w:rsidR="00D53AC0">
        <w:rPr>
          <w:sz w:val="24"/>
          <w:szCs w:val="24"/>
          <w:lang w:val="en-US"/>
        </w:rPr>
        <w:t>Since then,</w:t>
      </w:r>
      <w:r w:rsidR="006F4425">
        <w:rPr>
          <w:sz w:val="24"/>
          <w:szCs w:val="24"/>
          <w:lang w:val="en-US"/>
        </w:rPr>
        <w:t xml:space="preserve"> numerous decisions have since pierced the corporate veil to reach the assets of shareholders</w:t>
      </w:r>
      <w:r w:rsidR="007A457B">
        <w:rPr>
          <w:sz w:val="24"/>
          <w:szCs w:val="24"/>
          <w:lang w:val="en-US"/>
        </w:rPr>
        <w:t xml:space="preserve"> and managers</w:t>
      </w:r>
      <w:r w:rsidR="006F4425">
        <w:rPr>
          <w:sz w:val="24"/>
          <w:szCs w:val="24"/>
          <w:lang w:val="en-US"/>
        </w:rPr>
        <w:t>.</w:t>
      </w:r>
      <w:r w:rsidR="006F4425">
        <w:rPr>
          <w:rStyle w:val="Refdenotaderodap"/>
          <w:sz w:val="24"/>
          <w:szCs w:val="24"/>
          <w:lang w:val="en-US"/>
        </w:rPr>
        <w:footnoteReference w:id="118"/>
      </w:r>
      <w:r w:rsidR="006F4425">
        <w:rPr>
          <w:sz w:val="24"/>
          <w:szCs w:val="24"/>
          <w:lang w:val="en-US"/>
        </w:rPr>
        <w:t xml:space="preserve"> </w:t>
      </w:r>
      <w:r w:rsidR="00A56C80">
        <w:rPr>
          <w:sz w:val="24"/>
          <w:szCs w:val="24"/>
          <w:lang w:val="en-US"/>
        </w:rPr>
        <w:t xml:space="preserve">Moreover, </w:t>
      </w:r>
      <w:r w:rsidR="00440461">
        <w:rPr>
          <w:sz w:val="24"/>
          <w:szCs w:val="24"/>
          <w:lang w:val="en-US"/>
        </w:rPr>
        <w:t>this interpretation spanned</w:t>
      </w:r>
      <w:r w:rsidR="00A56C80">
        <w:rPr>
          <w:sz w:val="24"/>
          <w:szCs w:val="24"/>
          <w:lang w:val="en-US"/>
        </w:rPr>
        <w:t xml:space="preserve"> far beyond the consumer context. </w:t>
      </w:r>
    </w:p>
    <w:p w:rsidR="00A56C80" w:rsidRDefault="00A56C80" w:rsidP="00260800">
      <w:pPr>
        <w:ind w:firstLine="708"/>
        <w:jc w:val="both"/>
        <w:rPr>
          <w:sz w:val="24"/>
          <w:szCs w:val="24"/>
          <w:lang w:val="en-US"/>
        </w:rPr>
      </w:pPr>
      <w:r>
        <w:rPr>
          <w:sz w:val="24"/>
          <w:szCs w:val="24"/>
          <w:lang w:val="en-US"/>
        </w:rPr>
        <w:t xml:space="preserve">First, labor courts increasingly </w:t>
      </w:r>
      <w:r w:rsidR="00440461">
        <w:rPr>
          <w:sz w:val="24"/>
          <w:szCs w:val="24"/>
          <w:lang w:val="en-US"/>
        </w:rPr>
        <w:t>applied</w:t>
      </w:r>
      <w:r>
        <w:rPr>
          <w:sz w:val="24"/>
          <w:szCs w:val="24"/>
          <w:lang w:val="en-US"/>
        </w:rPr>
        <w:t xml:space="preserve"> the consumer protection </w:t>
      </w:r>
      <w:r w:rsidR="00440461">
        <w:rPr>
          <w:sz w:val="24"/>
          <w:szCs w:val="24"/>
          <w:lang w:val="en-US"/>
        </w:rPr>
        <w:t>legislation</w:t>
      </w:r>
      <w:r>
        <w:rPr>
          <w:sz w:val="24"/>
          <w:szCs w:val="24"/>
          <w:lang w:val="en-US"/>
        </w:rPr>
        <w:t xml:space="preserve"> </w:t>
      </w:r>
      <w:r w:rsidRPr="000F6644">
        <w:rPr>
          <w:sz w:val="24"/>
          <w:szCs w:val="24"/>
          <w:lang w:val="en-US"/>
        </w:rPr>
        <w:t>by analogy</w:t>
      </w:r>
      <w:r>
        <w:rPr>
          <w:i/>
          <w:sz w:val="24"/>
          <w:szCs w:val="24"/>
          <w:lang w:val="en-US"/>
        </w:rPr>
        <w:t xml:space="preserve"> </w:t>
      </w:r>
      <w:r>
        <w:rPr>
          <w:sz w:val="24"/>
          <w:szCs w:val="24"/>
          <w:lang w:val="en-US"/>
        </w:rPr>
        <w:t>to pierce the corporate veil liberally for the benefit of workers.</w:t>
      </w:r>
      <w:r w:rsidR="00453989">
        <w:rPr>
          <w:rStyle w:val="Refdenotaderodap"/>
          <w:sz w:val="24"/>
          <w:szCs w:val="24"/>
          <w:lang w:val="en-US"/>
        </w:rPr>
        <w:footnoteReference w:id="119"/>
      </w:r>
      <w:r>
        <w:rPr>
          <w:sz w:val="24"/>
          <w:szCs w:val="24"/>
          <w:lang w:val="en-US"/>
        </w:rPr>
        <w:t xml:space="preserve"> Second, </w:t>
      </w:r>
      <w:r w:rsidR="00BB6883">
        <w:rPr>
          <w:sz w:val="24"/>
          <w:szCs w:val="24"/>
          <w:lang w:val="en-US"/>
        </w:rPr>
        <w:t xml:space="preserve">subsequent statutes closely reproduced the language of the consumer protection code. </w:t>
      </w:r>
      <w:r>
        <w:rPr>
          <w:sz w:val="24"/>
          <w:szCs w:val="24"/>
          <w:lang w:val="en-US"/>
        </w:rPr>
        <w:t>Brazil’s 1998</w:t>
      </w:r>
      <w:r w:rsidR="00120173">
        <w:rPr>
          <w:sz w:val="24"/>
          <w:szCs w:val="24"/>
          <w:lang w:val="en-US"/>
        </w:rPr>
        <w:t xml:space="preserve"> law</w:t>
      </w:r>
      <w:r>
        <w:rPr>
          <w:sz w:val="24"/>
          <w:szCs w:val="24"/>
          <w:lang w:val="en-US"/>
        </w:rPr>
        <w:t xml:space="preserve"> </w:t>
      </w:r>
      <w:r w:rsidR="00120173">
        <w:rPr>
          <w:sz w:val="24"/>
          <w:szCs w:val="24"/>
          <w:lang w:val="en-US"/>
        </w:rPr>
        <w:t xml:space="preserve">on criminal and administrative sanctions for environmental violations </w:t>
      </w:r>
      <w:r>
        <w:rPr>
          <w:sz w:val="24"/>
          <w:szCs w:val="24"/>
          <w:lang w:val="en-US"/>
        </w:rPr>
        <w:t xml:space="preserve">contained language that was almost identical to the consumer </w:t>
      </w:r>
      <w:proofErr w:type="gramStart"/>
      <w:r>
        <w:rPr>
          <w:sz w:val="24"/>
          <w:szCs w:val="24"/>
          <w:lang w:val="en-US"/>
        </w:rPr>
        <w:t>code’s</w:t>
      </w:r>
      <w:proofErr w:type="gramEnd"/>
      <w:r>
        <w:rPr>
          <w:sz w:val="24"/>
          <w:szCs w:val="24"/>
          <w:lang w:val="en-US"/>
        </w:rPr>
        <w:t>, providing for the disregard of legal entity “whenever legal personality is an obstacle for the compensation of harm caused to the quality of the environment.”</w:t>
      </w:r>
      <w:r>
        <w:rPr>
          <w:rStyle w:val="Refdenotaderodap"/>
          <w:sz w:val="24"/>
          <w:szCs w:val="24"/>
          <w:lang w:val="en-US"/>
        </w:rPr>
        <w:footnoteReference w:id="120"/>
      </w:r>
      <w:r w:rsidR="00CD3EFF">
        <w:rPr>
          <w:sz w:val="24"/>
          <w:szCs w:val="24"/>
          <w:lang w:val="en-US"/>
        </w:rPr>
        <w:t xml:space="preserve"> </w:t>
      </w:r>
      <w:r w:rsidR="0078550C">
        <w:rPr>
          <w:sz w:val="24"/>
          <w:szCs w:val="24"/>
          <w:lang w:val="en-US"/>
        </w:rPr>
        <w:t>The same language appeared again in a 1999 statute on national fuel supply.</w:t>
      </w:r>
      <w:r w:rsidR="0078550C">
        <w:rPr>
          <w:rStyle w:val="Refdenotaderodap"/>
          <w:sz w:val="24"/>
          <w:szCs w:val="24"/>
          <w:lang w:val="en-US"/>
        </w:rPr>
        <w:footnoteReference w:id="121"/>
      </w:r>
      <w:r w:rsidR="00CD3EFF">
        <w:rPr>
          <w:sz w:val="24"/>
          <w:szCs w:val="24"/>
          <w:lang w:val="en-US"/>
        </w:rPr>
        <w:t xml:space="preserve"> The recent environmental disaster provoked by the </w:t>
      </w:r>
      <w:r w:rsidR="000F6644">
        <w:rPr>
          <w:sz w:val="24"/>
          <w:szCs w:val="24"/>
          <w:lang w:val="en-US"/>
        </w:rPr>
        <w:t xml:space="preserve">rupture of </w:t>
      </w:r>
      <w:r w:rsidR="00CD3EFF">
        <w:rPr>
          <w:sz w:val="24"/>
          <w:szCs w:val="24"/>
          <w:lang w:val="en-US"/>
        </w:rPr>
        <w:t xml:space="preserve">dams owned by </w:t>
      </w:r>
      <w:proofErr w:type="spellStart"/>
      <w:r w:rsidR="00CD3EFF">
        <w:rPr>
          <w:sz w:val="24"/>
          <w:szCs w:val="24"/>
          <w:lang w:val="en-US"/>
        </w:rPr>
        <w:t>Samarco</w:t>
      </w:r>
      <w:proofErr w:type="spellEnd"/>
      <w:r w:rsidR="00CD3EFF">
        <w:rPr>
          <w:sz w:val="24"/>
          <w:szCs w:val="24"/>
          <w:lang w:val="en-US"/>
        </w:rPr>
        <w:t xml:space="preserve">, </w:t>
      </w:r>
      <w:r w:rsidR="000F6644">
        <w:rPr>
          <w:sz w:val="24"/>
          <w:szCs w:val="24"/>
          <w:lang w:val="en-US"/>
        </w:rPr>
        <w:t>a</w:t>
      </w:r>
      <w:r w:rsidR="00CD3EFF">
        <w:rPr>
          <w:sz w:val="24"/>
          <w:szCs w:val="24"/>
          <w:lang w:val="en-US"/>
        </w:rPr>
        <w:t xml:space="preserve"> joint venture </w:t>
      </w:r>
      <w:r w:rsidR="000F6644">
        <w:rPr>
          <w:sz w:val="24"/>
          <w:szCs w:val="24"/>
          <w:lang w:val="en-US"/>
        </w:rPr>
        <w:t>between mining giants</w:t>
      </w:r>
      <w:r w:rsidR="00CD3EFF">
        <w:rPr>
          <w:sz w:val="24"/>
          <w:szCs w:val="24"/>
          <w:lang w:val="en-US"/>
        </w:rPr>
        <w:t xml:space="preserve"> Vale and BHP Billiton, illustrates the point. Although </w:t>
      </w:r>
      <w:proofErr w:type="spellStart"/>
      <w:r w:rsidR="00CD3EFF">
        <w:rPr>
          <w:sz w:val="24"/>
          <w:szCs w:val="24"/>
          <w:lang w:val="en-US"/>
        </w:rPr>
        <w:t>Samarco</w:t>
      </w:r>
      <w:proofErr w:type="spellEnd"/>
      <w:r w:rsidR="00CD3EFF">
        <w:rPr>
          <w:sz w:val="24"/>
          <w:szCs w:val="24"/>
          <w:lang w:val="en-US"/>
        </w:rPr>
        <w:t xml:space="preserve"> takes the form of </w:t>
      </w:r>
      <w:r w:rsidR="00CD3EFF">
        <w:rPr>
          <w:sz w:val="24"/>
          <w:szCs w:val="24"/>
          <w:lang w:val="en-US"/>
        </w:rPr>
        <w:lastRenderedPageBreak/>
        <w:t xml:space="preserve">an S.A., prosecutors have </w:t>
      </w:r>
      <w:r w:rsidR="004D135D">
        <w:rPr>
          <w:sz w:val="24"/>
          <w:szCs w:val="24"/>
          <w:lang w:val="en-US"/>
        </w:rPr>
        <w:t>included</w:t>
      </w:r>
      <w:r w:rsidR="00CD3EFF">
        <w:rPr>
          <w:sz w:val="24"/>
          <w:szCs w:val="24"/>
          <w:lang w:val="en-US"/>
        </w:rPr>
        <w:t xml:space="preserve"> Vale and BHP Billiton</w:t>
      </w:r>
      <w:r w:rsidR="004D135D">
        <w:rPr>
          <w:sz w:val="24"/>
          <w:szCs w:val="24"/>
          <w:lang w:val="en-US"/>
        </w:rPr>
        <w:t xml:space="preserve"> as defendants in the lawsuit seeking compensation</w:t>
      </w:r>
      <w:r w:rsidR="00CD3EFF">
        <w:rPr>
          <w:sz w:val="24"/>
          <w:szCs w:val="24"/>
          <w:lang w:val="en-US"/>
        </w:rPr>
        <w:t xml:space="preserve"> for the massive losses caused.</w:t>
      </w:r>
      <w:r w:rsidR="00CD3EFF">
        <w:rPr>
          <w:rStyle w:val="Refdenotaderodap"/>
          <w:sz w:val="24"/>
          <w:szCs w:val="24"/>
          <w:lang w:val="en-US"/>
        </w:rPr>
        <w:footnoteReference w:id="122"/>
      </w:r>
    </w:p>
    <w:p w:rsidR="00AD0058" w:rsidRDefault="00A56C80" w:rsidP="00865E8E">
      <w:pPr>
        <w:jc w:val="both"/>
        <w:rPr>
          <w:sz w:val="24"/>
          <w:szCs w:val="24"/>
          <w:lang w:val="en-US"/>
        </w:rPr>
      </w:pPr>
      <w:r w:rsidRPr="007B7025">
        <w:rPr>
          <w:sz w:val="24"/>
          <w:szCs w:val="24"/>
          <w:lang w:val="en-US"/>
        </w:rPr>
        <w:tab/>
      </w:r>
      <w:r w:rsidR="005B38BE">
        <w:rPr>
          <w:sz w:val="24"/>
          <w:szCs w:val="24"/>
          <w:lang w:val="en-US"/>
        </w:rPr>
        <w:t xml:space="preserve">When it comes to corporate groups, the LSA explicitly provides that each entity belonging to a group of companies </w:t>
      </w:r>
      <w:proofErr w:type="gramStart"/>
      <w:r w:rsidR="005B38BE">
        <w:rPr>
          <w:sz w:val="24"/>
          <w:szCs w:val="24"/>
          <w:lang w:val="en-US"/>
        </w:rPr>
        <w:t>retains</w:t>
      </w:r>
      <w:proofErr w:type="gramEnd"/>
      <w:r w:rsidR="005B38BE">
        <w:rPr>
          <w:sz w:val="24"/>
          <w:szCs w:val="24"/>
          <w:lang w:val="en-US"/>
        </w:rPr>
        <w:t xml:space="preserve"> a separate legal personality and a separate patrimony.</w:t>
      </w:r>
      <w:r w:rsidR="005B38BE">
        <w:rPr>
          <w:rStyle w:val="Refdenotaderodap"/>
          <w:sz w:val="24"/>
          <w:szCs w:val="24"/>
          <w:lang w:val="en-US"/>
        </w:rPr>
        <w:footnoteReference w:id="123"/>
      </w:r>
      <w:r w:rsidR="00865E8E">
        <w:rPr>
          <w:sz w:val="24"/>
          <w:szCs w:val="24"/>
          <w:lang w:val="en-US"/>
        </w:rPr>
        <w:t xml:space="preserve"> </w:t>
      </w:r>
      <w:r w:rsidR="005B38BE">
        <w:rPr>
          <w:sz w:val="24"/>
          <w:szCs w:val="24"/>
          <w:lang w:val="en-US"/>
        </w:rPr>
        <w:t>However, various</w:t>
      </w:r>
      <w:r w:rsidR="004E62B6">
        <w:rPr>
          <w:sz w:val="24"/>
          <w:szCs w:val="24"/>
          <w:lang w:val="en-US"/>
        </w:rPr>
        <w:t xml:space="preserve"> </w:t>
      </w:r>
      <w:r w:rsidR="00440461">
        <w:rPr>
          <w:sz w:val="24"/>
          <w:szCs w:val="24"/>
          <w:lang w:val="en-US"/>
        </w:rPr>
        <w:t>statutes in the last decades have also weakened the separation of assets among firms belonging to the same corporate group</w:t>
      </w:r>
      <w:r w:rsidR="005B38BE">
        <w:rPr>
          <w:sz w:val="24"/>
          <w:szCs w:val="24"/>
          <w:lang w:val="en-US"/>
        </w:rPr>
        <w:t>.</w:t>
      </w:r>
      <w:r w:rsidR="002F51C8">
        <w:rPr>
          <w:sz w:val="24"/>
          <w:szCs w:val="24"/>
          <w:lang w:val="en-US"/>
        </w:rPr>
        <w:t xml:space="preserve"> </w:t>
      </w:r>
      <w:r w:rsidR="00440461">
        <w:rPr>
          <w:sz w:val="24"/>
          <w:szCs w:val="24"/>
          <w:lang w:val="en-US"/>
        </w:rPr>
        <w:t xml:space="preserve">A 1991 statute imposes </w:t>
      </w:r>
      <w:r w:rsidR="00B7454D">
        <w:rPr>
          <w:sz w:val="24"/>
          <w:szCs w:val="24"/>
          <w:lang w:val="en-US"/>
        </w:rPr>
        <w:t>joint and several liability</w:t>
      </w:r>
      <w:r w:rsidR="002F51C8">
        <w:rPr>
          <w:sz w:val="24"/>
          <w:szCs w:val="24"/>
          <w:lang w:val="en-US"/>
        </w:rPr>
        <w:t xml:space="preserve"> </w:t>
      </w:r>
      <w:r w:rsidR="00B7454D">
        <w:rPr>
          <w:sz w:val="24"/>
          <w:szCs w:val="24"/>
          <w:lang w:val="en-US"/>
        </w:rPr>
        <w:t>on firms belonging to the same “economic group”</w:t>
      </w:r>
      <w:r w:rsidR="00C37AC6">
        <w:rPr>
          <w:sz w:val="24"/>
          <w:szCs w:val="24"/>
          <w:lang w:val="en-US"/>
        </w:rPr>
        <w:t xml:space="preserve"> with respect to unpai</w:t>
      </w:r>
      <w:r w:rsidR="0070114F">
        <w:rPr>
          <w:sz w:val="24"/>
          <w:szCs w:val="24"/>
          <w:lang w:val="en-US"/>
        </w:rPr>
        <w:t>d social security contributions</w:t>
      </w:r>
      <w:r w:rsidR="00C37AC6">
        <w:rPr>
          <w:sz w:val="24"/>
          <w:szCs w:val="24"/>
          <w:lang w:val="en-US"/>
        </w:rPr>
        <w:t>.</w:t>
      </w:r>
      <w:r w:rsidR="002F51C8">
        <w:rPr>
          <w:rStyle w:val="Refdenotaderodap"/>
          <w:sz w:val="24"/>
          <w:szCs w:val="24"/>
          <w:lang w:val="en-US"/>
        </w:rPr>
        <w:footnoteReference w:id="124"/>
      </w:r>
      <w:r w:rsidR="009504A7">
        <w:rPr>
          <w:sz w:val="24"/>
          <w:szCs w:val="24"/>
          <w:lang w:val="en-US"/>
        </w:rPr>
        <w:t xml:space="preserve"> Joint and several liability within the economic group also applies in the tax context </w:t>
      </w:r>
      <w:r w:rsidR="00440461">
        <w:rPr>
          <w:sz w:val="24"/>
          <w:szCs w:val="24"/>
          <w:lang w:val="en-US"/>
        </w:rPr>
        <w:t>insofar as</w:t>
      </w:r>
      <w:r w:rsidR="009504A7">
        <w:rPr>
          <w:sz w:val="24"/>
          <w:szCs w:val="24"/>
          <w:lang w:val="en-US"/>
        </w:rPr>
        <w:t xml:space="preserve"> the different firms participated in the taxable activity </w:t>
      </w:r>
      <w:r w:rsidR="00C37AC6">
        <w:rPr>
          <w:sz w:val="24"/>
          <w:szCs w:val="24"/>
          <w:lang w:val="en-US"/>
        </w:rPr>
        <w:t>and/</w:t>
      </w:r>
      <w:r w:rsidR="009504A7">
        <w:rPr>
          <w:sz w:val="24"/>
          <w:szCs w:val="24"/>
          <w:lang w:val="en-US"/>
        </w:rPr>
        <w:t xml:space="preserve">or </w:t>
      </w:r>
      <w:r w:rsidR="009456E6">
        <w:rPr>
          <w:sz w:val="24"/>
          <w:szCs w:val="24"/>
          <w:lang w:val="en-US"/>
        </w:rPr>
        <w:t>have an interest in it</w:t>
      </w:r>
      <w:r w:rsidR="009504A7">
        <w:rPr>
          <w:sz w:val="24"/>
          <w:szCs w:val="24"/>
          <w:lang w:val="en-US"/>
        </w:rPr>
        <w:t>.</w:t>
      </w:r>
      <w:r w:rsidR="00C37AC6">
        <w:rPr>
          <w:rStyle w:val="Refdenotaderodap"/>
          <w:sz w:val="24"/>
          <w:szCs w:val="24"/>
          <w:lang w:val="en-US"/>
        </w:rPr>
        <w:footnoteReference w:id="125"/>
      </w:r>
      <w:r w:rsidR="009504A7">
        <w:rPr>
          <w:sz w:val="24"/>
          <w:szCs w:val="24"/>
          <w:lang w:val="en-US"/>
        </w:rPr>
        <w:t xml:space="preserve"> </w:t>
      </w:r>
    </w:p>
    <w:p w:rsidR="00362E58" w:rsidRDefault="00AD0058" w:rsidP="00AD0058">
      <w:pPr>
        <w:ind w:firstLine="708"/>
        <w:jc w:val="both"/>
        <w:rPr>
          <w:sz w:val="24"/>
          <w:szCs w:val="24"/>
          <w:lang w:val="en-US"/>
        </w:rPr>
      </w:pPr>
      <w:r>
        <w:rPr>
          <w:sz w:val="24"/>
          <w:szCs w:val="24"/>
          <w:lang w:val="en-US"/>
        </w:rPr>
        <w:t>B</w:t>
      </w:r>
      <w:r w:rsidR="00313574">
        <w:rPr>
          <w:sz w:val="24"/>
          <w:szCs w:val="24"/>
          <w:lang w:val="en-US"/>
        </w:rPr>
        <w:t xml:space="preserve">razil’s competition law of 2011 </w:t>
      </w:r>
      <w:r>
        <w:rPr>
          <w:sz w:val="24"/>
          <w:szCs w:val="24"/>
          <w:lang w:val="en-US"/>
        </w:rPr>
        <w:t>also imposes</w:t>
      </w:r>
      <w:r w:rsidR="00313574">
        <w:rPr>
          <w:sz w:val="24"/>
          <w:szCs w:val="24"/>
          <w:lang w:val="en-US"/>
        </w:rPr>
        <w:t xml:space="preserve"> joint and several liability o</w:t>
      </w:r>
      <w:r>
        <w:rPr>
          <w:sz w:val="24"/>
          <w:szCs w:val="24"/>
          <w:lang w:val="en-US"/>
        </w:rPr>
        <w:t>n</w:t>
      </w:r>
      <w:r w:rsidR="00313574">
        <w:rPr>
          <w:sz w:val="24"/>
          <w:szCs w:val="24"/>
          <w:lang w:val="en-US"/>
        </w:rPr>
        <w:t xml:space="preserve"> companies belonging to the same economic group, </w:t>
      </w:r>
      <w:r>
        <w:rPr>
          <w:sz w:val="24"/>
          <w:szCs w:val="24"/>
          <w:lang w:val="en-US"/>
        </w:rPr>
        <w:t xml:space="preserve">as well as </w:t>
      </w:r>
      <w:r w:rsidR="001A38A3">
        <w:rPr>
          <w:sz w:val="24"/>
          <w:szCs w:val="24"/>
          <w:lang w:val="en-US"/>
        </w:rPr>
        <w:t>for veil piercing in cases of insolvency or bankruptcy caused by “poor corporate administration</w:t>
      </w:r>
      <w:r w:rsidR="00313574">
        <w:rPr>
          <w:sz w:val="24"/>
          <w:szCs w:val="24"/>
          <w:lang w:val="en-US"/>
        </w:rPr>
        <w:t>.</w:t>
      </w:r>
      <w:r w:rsidR="001A38A3">
        <w:rPr>
          <w:sz w:val="24"/>
          <w:szCs w:val="24"/>
          <w:lang w:val="en-US"/>
        </w:rPr>
        <w:t>”</w:t>
      </w:r>
      <w:r w:rsidR="00313574">
        <w:rPr>
          <w:rStyle w:val="Refdenotaderodap"/>
          <w:sz w:val="24"/>
          <w:szCs w:val="24"/>
          <w:lang w:val="en-US"/>
        </w:rPr>
        <w:footnoteReference w:id="126"/>
      </w:r>
      <w:r w:rsidR="00972EEA">
        <w:rPr>
          <w:sz w:val="24"/>
          <w:szCs w:val="24"/>
          <w:lang w:val="en-US"/>
        </w:rPr>
        <w:t xml:space="preserve"> </w:t>
      </w:r>
      <w:proofErr w:type="gramStart"/>
      <w:r w:rsidR="00972EEA">
        <w:rPr>
          <w:sz w:val="24"/>
          <w:szCs w:val="24"/>
          <w:lang w:val="en-US"/>
        </w:rPr>
        <w:t xml:space="preserve">Similarly, the new </w:t>
      </w:r>
      <w:r w:rsidR="000C20BE">
        <w:rPr>
          <w:sz w:val="24"/>
          <w:szCs w:val="24"/>
          <w:lang w:val="en-US"/>
        </w:rPr>
        <w:t xml:space="preserve">Anticorruption Law of 2013 </w:t>
      </w:r>
      <w:r w:rsidR="00A56C80">
        <w:rPr>
          <w:sz w:val="24"/>
          <w:szCs w:val="24"/>
          <w:lang w:val="en-US"/>
        </w:rPr>
        <w:t>that “the companies controlling, controlled by or affiliated with, or tied by a consortium contract within the scope of the contract, are jointly and severally liable by the practice of the acts described in the statute, this liability being limited to the obligation of the payment of the fine and the full compensation of the damages caused.”</w:t>
      </w:r>
      <w:r w:rsidR="00A56C80">
        <w:rPr>
          <w:rStyle w:val="Refdenotaderodap"/>
          <w:sz w:val="24"/>
          <w:szCs w:val="24"/>
          <w:lang w:val="en-US"/>
        </w:rPr>
        <w:footnoteReference w:id="127"/>
      </w:r>
      <w:proofErr w:type="gramEnd"/>
      <w:r w:rsidR="00A56C80" w:rsidRPr="000506F1">
        <w:rPr>
          <w:color w:val="FF0000"/>
          <w:sz w:val="24"/>
          <w:szCs w:val="24"/>
          <w:lang w:val="en-US"/>
        </w:rPr>
        <w:t xml:space="preserve"> </w:t>
      </w:r>
      <w:r w:rsidR="00972EEA">
        <w:rPr>
          <w:sz w:val="24"/>
          <w:szCs w:val="24"/>
          <w:lang w:val="en-US"/>
        </w:rPr>
        <w:t xml:space="preserve">Although such liability does not reach individual controlling shareholders, it is expansive in explicitly </w:t>
      </w:r>
      <w:r w:rsidR="00A56C80">
        <w:rPr>
          <w:sz w:val="24"/>
          <w:szCs w:val="24"/>
          <w:lang w:val="en-US"/>
        </w:rPr>
        <w:t>encompassing “affiliated companies” (</w:t>
      </w:r>
      <w:proofErr w:type="spellStart"/>
      <w:r w:rsidR="00A56C80">
        <w:rPr>
          <w:i/>
          <w:sz w:val="24"/>
          <w:szCs w:val="24"/>
          <w:lang w:val="en-US"/>
        </w:rPr>
        <w:t>sociedades</w:t>
      </w:r>
      <w:proofErr w:type="spellEnd"/>
      <w:r w:rsidR="00A56C80">
        <w:rPr>
          <w:i/>
          <w:sz w:val="24"/>
          <w:szCs w:val="24"/>
          <w:lang w:val="en-US"/>
        </w:rPr>
        <w:t xml:space="preserve"> </w:t>
      </w:r>
      <w:proofErr w:type="spellStart"/>
      <w:r w:rsidR="00A56C80">
        <w:rPr>
          <w:i/>
          <w:sz w:val="24"/>
          <w:szCs w:val="24"/>
          <w:lang w:val="en-US"/>
        </w:rPr>
        <w:t>coligadas</w:t>
      </w:r>
      <w:proofErr w:type="spellEnd"/>
      <w:r w:rsidR="00A56C80">
        <w:rPr>
          <w:sz w:val="24"/>
          <w:szCs w:val="24"/>
          <w:lang w:val="en-US"/>
        </w:rPr>
        <w:t>), defined as companies that are under “significant influence”</w:t>
      </w:r>
      <w:r w:rsidR="00972EEA">
        <w:rPr>
          <w:sz w:val="24"/>
          <w:szCs w:val="24"/>
          <w:lang w:val="en-US"/>
        </w:rPr>
        <w:t xml:space="preserve"> of another</w:t>
      </w:r>
      <w:r w:rsidR="00A56C80">
        <w:rPr>
          <w:sz w:val="24"/>
          <w:szCs w:val="24"/>
          <w:lang w:val="en-US"/>
        </w:rPr>
        <w:t xml:space="preserve"> which however falls short of control.</w:t>
      </w:r>
      <w:r w:rsidR="00A56C80">
        <w:rPr>
          <w:rStyle w:val="Refdenotaderodap"/>
          <w:sz w:val="24"/>
          <w:szCs w:val="24"/>
          <w:lang w:val="en-US"/>
        </w:rPr>
        <w:footnoteReference w:id="128"/>
      </w:r>
      <w:r w:rsidR="00A56C80">
        <w:rPr>
          <w:sz w:val="24"/>
          <w:szCs w:val="24"/>
          <w:lang w:val="en-US"/>
        </w:rPr>
        <w:t xml:space="preserve"> </w:t>
      </w:r>
      <w:r w:rsidR="00362E58">
        <w:rPr>
          <w:sz w:val="24"/>
          <w:szCs w:val="24"/>
          <w:lang w:val="en-US"/>
        </w:rPr>
        <w:t xml:space="preserve"> </w:t>
      </w:r>
    </w:p>
    <w:p w:rsidR="00865E8E" w:rsidRPr="00D42A07" w:rsidRDefault="00865E8E" w:rsidP="00AD0058">
      <w:pPr>
        <w:ind w:firstLine="708"/>
        <w:jc w:val="both"/>
        <w:rPr>
          <w:color w:val="FF0000"/>
          <w:sz w:val="24"/>
          <w:szCs w:val="24"/>
          <w:lang w:val="en-US"/>
        </w:rPr>
      </w:pPr>
      <w:r>
        <w:rPr>
          <w:sz w:val="24"/>
          <w:szCs w:val="24"/>
          <w:lang w:val="en-US"/>
        </w:rPr>
        <w:t xml:space="preserve">Moreover, courts have disregarded the legal personality of group companies quite liberally even in the absence of such special statutory regimes. An empirical study found that, in the five-year period from 2005 and 2010, the court of appeals for the state of São Paulo decided 214 cases involving veil piercing in economic groups that did not </w:t>
      </w:r>
      <w:r>
        <w:rPr>
          <w:sz w:val="24"/>
          <w:szCs w:val="24"/>
          <w:lang w:val="en-US"/>
        </w:rPr>
        <w:lastRenderedPageBreak/>
        <w:t>implicate any special statute.</w:t>
      </w:r>
      <w:r>
        <w:rPr>
          <w:rStyle w:val="Refdenotaderodap"/>
          <w:sz w:val="24"/>
          <w:szCs w:val="24"/>
          <w:lang w:val="en-US"/>
        </w:rPr>
        <w:footnoteReference w:id="129"/>
      </w:r>
      <w:r>
        <w:rPr>
          <w:sz w:val="24"/>
          <w:szCs w:val="24"/>
          <w:lang w:val="en-US"/>
        </w:rPr>
        <w:t xml:space="preserve"> Of these, the court disregarded corporate boundaries in 134 cases, or nearly two-thirds of the total.  </w:t>
      </w:r>
    </w:p>
    <w:p w:rsidR="00D044BD" w:rsidRDefault="004A5C90" w:rsidP="005B38BE">
      <w:pPr>
        <w:ind w:firstLine="708"/>
        <w:jc w:val="both"/>
        <w:rPr>
          <w:sz w:val="24"/>
          <w:szCs w:val="24"/>
          <w:lang w:val="en-US"/>
        </w:rPr>
      </w:pPr>
      <w:r>
        <w:rPr>
          <w:sz w:val="24"/>
          <w:szCs w:val="24"/>
          <w:lang w:val="en-US"/>
        </w:rPr>
        <w:t xml:space="preserve">Bankruptcy law provides another </w:t>
      </w:r>
      <w:r w:rsidR="00EF2218">
        <w:rPr>
          <w:sz w:val="24"/>
          <w:szCs w:val="24"/>
          <w:lang w:val="en-US"/>
        </w:rPr>
        <w:t xml:space="preserve">field </w:t>
      </w:r>
      <w:r w:rsidR="001756B1">
        <w:rPr>
          <w:sz w:val="24"/>
          <w:szCs w:val="24"/>
          <w:lang w:val="en-US"/>
        </w:rPr>
        <w:t xml:space="preserve">that </w:t>
      </w:r>
      <w:r>
        <w:rPr>
          <w:sz w:val="24"/>
          <w:szCs w:val="24"/>
          <w:lang w:val="en-US"/>
        </w:rPr>
        <w:t xml:space="preserve">has increasingly overcome not only limited liability </w:t>
      </w:r>
      <w:proofErr w:type="gramStart"/>
      <w:r>
        <w:rPr>
          <w:sz w:val="24"/>
          <w:szCs w:val="24"/>
          <w:lang w:val="en-US"/>
        </w:rPr>
        <w:t>but</w:t>
      </w:r>
      <w:proofErr w:type="gramEnd"/>
      <w:r>
        <w:rPr>
          <w:sz w:val="24"/>
          <w:szCs w:val="24"/>
          <w:lang w:val="en-US"/>
        </w:rPr>
        <w:t xml:space="preserve"> the very notion of legal personality more broadly</w:t>
      </w:r>
      <w:r w:rsidR="007254F4">
        <w:rPr>
          <w:sz w:val="24"/>
          <w:szCs w:val="24"/>
          <w:lang w:val="en-US"/>
        </w:rPr>
        <w:t xml:space="preserve"> </w:t>
      </w:r>
      <w:r w:rsidR="005B38BE">
        <w:rPr>
          <w:sz w:val="24"/>
          <w:szCs w:val="24"/>
          <w:lang w:val="en-US"/>
        </w:rPr>
        <w:t>to disregard the internal boundaries of corporate groups and combine the entities into a</w:t>
      </w:r>
      <w:r w:rsidR="001C3D1D">
        <w:rPr>
          <w:sz w:val="24"/>
          <w:szCs w:val="24"/>
          <w:lang w:val="en-US"/>
        </w:rPr>
        <w:t xml:space="preserve"> single pool of assets and group of creditors. </w:t>
      </w:r>
      <w:r w:rsidR="00497214">
        <w:rPr>
          <w:sz w:val="24"/>
          <w:szCs w:val="24"/>
          <w:lang w:val="en-US"/>
        </w:rPr>
        <w:t>Like veil piercing, t</w:t>
      </w:r>
      <w:r w:rsidR="001C3D1D">
        <w:rPr>
          <w:sz w:val="24"/>
          <w:szCs w:val="24"/>
          <w:lang w:val="en-US"/>
        </w:rPr>
        <w:t xml:space="preserve">his mechanism, which </w:t>
      </w:r>
      <w:proofErr w:type="gramStart"/>
      <w:r w:rsidR="007F09C6">
        <w:rPr>
          <w:sz w:val="24"/>
          <w:szCs w:val="24"/>
          <w:lang w:val="en-US"/>
        </w:rPr>
        <w:t xml:space="preserve">is </w:t>
      </w:r>
      <w:r w:rsidR="001C3D1D">
        <w:rPr>
          <w:sz w:val="24"/>
          <w:szCs w:val="24"/>
          <w:lang w:val="en-US"/>
        </w:rPr>
        <w:t>known</w:t>
      </w:r>
      <w:proofErr w:type="gramEnd"/>
      <w:r w:rsidR="001C3D1D">
        <w:rPr>
          <w:sz w:val="24"/>
          <w:szCs w:val="24"/>
          <w:lang w:val="en-US"/>
        </w:rPr>
        <w:t xml:space="preserve"> under U.S. law as “substantive consolidation,” is not unique to Brazil. </w:t>
      </w:r>
      <w:r w:rsidR="00497214">
        <w:rPr>
          <w:sz w:val="24"/>
          <w:szCs w:val="24"/>
          <w:lang w:val="en-US"/>
        </w:rPr>
        <w:t xml:space="preserve">The difference </w:t>
      </w:r>
      <w:r w:rsidR="00EA168A">
        <w:rPr>
          <w:sz w:val="24"/>
          <w:szCs w:val="24"/>
          <w:lang w:val="en-US"/>
        </w:rPr>
        <w:t xml:space="preserve">again lies in the Brazilian courts’ greater willingness to use it, as illustrated by two recent cases. </w:t>
      </w:r>
    </w:p>
    <w:p w:rsidR="007F09C6" w:rsidRDefault="008512BC" w:rsidP="005B38BE">
      <w:pPr>
        <w:ind w:firstLine="708"/>
        <w:jc w:val="both"/>
        <w:rPr>
          <w:sz w:val="24"/>
          <w:szCs w:val="24"/>
          <w:lang w:val="en-US"/>
        </w:rPr>
      </w:pPr>
      <w:r>
        <w:rPr>
          <w:sz w:val="24"/>
          <w:szCs w:val="24"/>
          <w:lang w:val="en-US"/>
        </w:rPr>
        <w:t>In the</w:t>
      </w:r>
      <w:r w:rsidR="007F09C6">
        <w:rPr>
          <w:sz w:val="24"/>
          <w:szCs w:val="24"/>
          <w:lang w:val="en-US"/>
        </w:rPr>
        <w:t xml:space="preserve"> judicial restructuring of </w:t>
      </w:r>
      <w:proofErr w:type="spellStart"/>
      <w:r w:rsidR="007F09C6">
        <w:rPr>
          <w:sz w:val="24"/>
          <w:szCs w:val="24"/>
          <w:lang w:val="en-US"/>
        </w:rPr>
        <w:t>Rede</w:t>
      </w:r>
      <w:proofErr w:type="spellEnd"/>
      <w:r w:rsidR="007F09C6">
        <w:rPr>
          <w:sz w:val="24"/>
          <w:szCs w:val="24"/>
          <w:lang w:val="en-US"/>
        </w:rPr>
        <w:t xml:space="preserve"> </w:t>
      </w:r>
      <w:proofErr w:type="spellStart"/>
      <w:r w:rsidR="007F09C6">
        <w:rPr>
          <w:sz w:val="24"/>
          <w:szCs w:val="24"/>
          <w:lang w:val="en-US"/>
        </w:rPr>
        <w:t>Energia</w:t>
      </w:r>
      <w:proofErr w:type="spellEnd"/>
      <w:r w:rsidR="007F09C6">
        <w:rPr>
          <w:sz w:val="24"/>
          <w:szCs w:val="24"/>
          <w:lang w:val="en-US"/>
        </w:rPr>
        <w:t xml:space="preserve">, </w:t>
      </w:r>
      <w:r w:rsidR="002F4C96">
        <w:rPr>
          <w:sz w:val="24"/>
          <w:szCs w:val="24"/>
          <w:lang w:val="en-US"/>
        </w:rPr>
        <w:t xml:space="preserve">the holding company and a number of subsidiaries </w:t>
      </w:r>
      <w:proofErr w:type="gramStart"/>
      <w:r w:rsidR="002F4C96">
        <w:rPr>
          <w:sz w:val="24"/>
          <w:szCs w:val="24"/>
          <w:lang w:val="en-US"/>
        </w:rPr>
        <w:t>were substantively consolidated</w:t>
      </w:r>
      <w:proofErr w:type="gramEnd"/>
      <w:r w:rsidR="002F4C96">
        <w:rPr>
          <w:sz w:val="24"/>
          <w:szCs w:val="24"/>
          <w:lang w:val="en-US"/>
        </w:rPr>
        <w:t xml:space="preserve"> based o</w:t>
      </w:r>
      <w:r w:rsidR="002F4C96" w:rsidRPr="003F3F18">
        <w:rPr>
          <w:sz w:val="24"/>
          <w:szCs w:val="24"/>
          <w:lang w:val="en-US"/>
        </w:rPr>
        <w:t xml:space="preserve">n the argument that </w:t>
      </w:r>
      <w:proofErr w:type="spellStart"/>
      <w:r w:rsidR="002F4C96" w:rsidRPr="003F3F18">
        <w:rPr>
          <w:sz w:val="24"/>
          <w:szCs w:val="24"/>
          <w:lang w:val="en-US"/>
        </w:rPr>
        <w:t>Rede</w:t>
      </w:r>
      <w:proofErr w:type="spellEnd"/>
      <w:r w:rsidR="002F4C96" w:rsidRPr="003F3F18">
        <w:rPr>
          <w:sz w:val="24"/>
          <w:szCs w:val="24"/>
          <w:lang w:val="en-US"/>
        </w:rPr>
        <w:t xml:space="preserve"> was “in fact organized as a corporate group, with a common controlling company and credit inter-dependence, as loans exist between the companies that comprise the group.”</w:t>
      </w:r>
      <w:r w:rsidR="00FF69FC" w:rsidRPr="003F3F18">
        <w:rPr>
          <w:rStyle w:val="Refdenotaderodap"/>
          <w:sz w:val="24"/>
          <w:szCs w:val="24"/>
          <w:lang w:val="en-US"/>
        </w:rPr>
        <w:footnoteReference w:id="130"/>
      </w:r>
      <w:r w:rsidR="002F4C96" w:rsidRPr="003F3F18">
        <w:rPr>
          <w:sz w:val="24"/>
          <w:szCs w:val="24"/>
          <w:lang w:val="en-US"/>
        </w:rPr>
        <w:t xml:space="preserve"> Th</w:t>
      </w:r>
      <w:r w:rsidR="00EA168A">
        <w:rPr>
          <w:sz w:val="24"/>
          <w:szCs w:val="24"/>
          <w:lang w:val="en-US"/>
        </w:rPr>
        <w:t xml:space="preserve">e application of substantive consolidation led to </w:t>
      </w:r>
      <w:r w:rsidR="002F4C96" w:rsidRPr="003F3F18">
        <w:rPr>
          <w:sz w:val="24"/>
          <w:szCs w:val="24"/>
          <w:lang w:val="en-US"/>
        </w:rPr>
        <w:t>protests by U.S. creditors of</w:t>
      </w:r>
      <w:r w:rsidR="00EA168A">
        <w:rPr>
          <w:sz w:val="24"/>
          <w:szCs w:val="24"/>
          <w:lang w:val="en-US"/>
        </w:rPr>
        <w:t xml:space="preserve"> </w:t>
      </w:r>
      <w:proofErr w:type="spellStart"/>
      <w:r w:rsidR="00EA168A">
        <w:rPr>
          <w:sz w:val="24"/>
          <w:szCs w:val="24"/>
          <w:lang w:val="en-US"/>
        </w:rPr>
        <w:t>Rede’s</w:t>
      </w:r>
      <w:proofErr w:type="spellEnd"/>
      <w:r w:rsidR="002F4C96" w:rsidRPr="003F3F18">
        <w:rPr>
          <w:sz w:val="24"/>
          <w:szCs w:val="24"/>
          <w:lang w:val="en-US"/>
        </w:rPr>
        <w:t xml:space="preserve"> subsidiaries, who </w:t>
      </w:r>
      <w:proofErr w:type="gramStart"/>
      <w:r w:rsidR="002F4C96" w:rsidRPr="003F3F18">
        <w:rPr>
          <w:sz w:val="24"/>
          <w:szCs w:val="24"/>
          <w:lang w:val="en-US"/>
        </w:rPr>
        <w:t>were harmed</w:t>
      </w:r>
      <w:proofErr w:type="gramEnd"/>
      <w:r w:rsidR="002F4C96" w:rsidRPr="003F3F18">
        <w:rPr>
          <w:sz w:val="24"/>
          <w:szCs w:val="24"/>
          <w:lang w:val="en-US"/>
        </w:rPr>
        <w:t xml:space="preserve"> by being placed on equal footing with the creditors of the parent company</w:t>
      </w:r>
      <w:r w:rsidR="00DA0375">
        <w:rPr>
          <w:sz w:val="24"/>
          <w:szCs w:val="24"/>
          <w:lang w:val="en-US"/>
        </w:rPr>
        <w:t xml:space="preserve">, </w:t>
      </w:r>
      <w:r w:rsidR="005B38BE">
        <w:rPr>
          <w:sz w:val="24"/>
          <w:szCs w:val="24"/>
          <w:lang w:val="en-US"/>
        </w:rPr>
        <w:t>without regard to</w:t>
      </w:r>
      <w:r w:rsidR="00DA0375">
        <w:rPr>
          <w:sz w:val="24"/>
          <w:szCs w:val="24"/>
          <w:lang w:val="en-US"/>
        </w:rPr>
        <w:t xml:space="preserve"> </w:t>
      </w:r>
      <w:r w:rsidR="005B38BE">
        <w:rPr>
          <w:sz w:val="24"/>
          <w:szCs w:val="24"/>
          <w:lang w:val="en-US"/>
        </w:rPr>
        <w:t xml:space="preserve">their </w:t>
      </w:r>
      <w:r w:rsidR="00DA0375">
        <w:rPr>
          <w:sz w:val="24"/>
          <w:szCs w:val="24"/>
          <w:lang w:val="en-US"/>
        </w:rPr>
        <w:t>structural subordination</w:t>
      </w:r>
      <w:r w:rsidR="002F4C96" w:rsidRPr="003F3F18">
        <w:rPr>
          <w:sz w:val="24"/>
          <w:szCs w:val="24"/>
          <w:lang w:val="en-US"/>
        </w:rPr>
        <w:t xml:space="preserve">. </w:t>
      </w:r>
      <w:r w:rsidR="006F1EAA">
        <w:rPr>
          <w:sz w:val="24"/>
          <w:szCs w:val="24"/>
          <w:lang w:val="en-US"/>
        </w:rPr>
        <w:t>A</w:t>
      </w:r>
      <w:r w:rsidR="004B0F5B">
        <w:rPr>
          <w:sz w:val="24"/>
          <w:szCs w:val="24"/>
          <w:lang w:val="en-US"/>
        </w:rPr>
        <w:t xml:space="preserve"> U.S. bankruptcy court</w:t>
      </w:r>
      <w:r w:rsidR="002F4C96" w:rsidRPr="003F3F18">
        <w:rPr>
          <w:sz w:val="24"/>
          <w:szCs w:val="24"/>
          <w:lang w:val="en-US"/>
        </w:rPr>
        <w:t xml:space="preserve"> </w:t>
      </w:r>
      <w:r w:rsidR="004B0F5B">
        <w:rPr>
          <w:sz w:val="24"/>
          <w:szCs w:val="24"/>
          <w:lang w:val="en-US"/>
        </w:rPr>
        <w:t>acknowledged</w:t>
      </w:r>
      <w:r w:rsidR="002F4C96" w:rsidRPr="003F3F18">
        <w:rPr>
          <w:sz w:val="24"/>
          <w:szCs w:val="24"/>
          <w:lang w:val="en-US"/>
        </w:rPr>
        <w:t xml:space="preserve"> that </w:t>
      </w:r>
      <w:r w:rsidR="004C20D3">
        <w:rPr>
          <w:sz w:val="24"/>
          <w:szCs w:val="24"/>
          <w:lang w:val="en-US"/>
        </w:rPr>
        <w:t>the</w:t>
      </w:r>
      <w:r w:rsidR="00EA168A">
        <w:rPr>
          <w:sz w:val="24"/>
          <w:szCs w:val="24"/>
          <w:lang w:val="en-US"/>
        </w:rPr>
        <w:t xml:space="preserve"> facts of the</w:t>
      </w:r>
      <w:r w:rsidR="004C20D3">
        <w:rPr>
          <w:sz w:val="24"/>
          <w:szCs w:val="24"/>
          <w:lang w:val="en-US"/>
        </w:rPr>
        <w:t xml:space="preserve"> case did not satisfy the standards </w:t>
      </w:r>
      <w:r w:rsidR="00004439">
        <w:rPr>
          <w:sz w:val="24"/>
          <w:szCs w:val="24"/>
          <w:lang w:val="en-US"/>
        </w:rPr>
        <w:t xml:space="preserve">required </w:t>
      </w:r>
      <w:r w:rsidR="004C20D3">
        <w:rPr>
          <w:sz w:val="24"/>
          <w:szCs w:val="24"/>
          <w:lang w:val="en-US"/>
        </w:rPr>
        <w:t xml:space="preserve">for substantive consolidation under </w:t>
      </w:r>
      <w:r w:rsidR="003F3F18" w:rsidRPr="003F3F18">
        <w:rPr>
          <w:sz w:val="24"/>
          <w:szCs w:val="24"/>
          <w:lang w:val="en-US"/>
        </w:rPr>
        <w:t>U.S. law</w:t>
      </w:r>
      <w:r w:rsidR="002F4C96" w:rsidRPr="003F3F18">
        <w:rPr>
          <w:sz w:val="24"/>
          <w:szCs w:val="24"/>
          <w:lang w:val="en-US"/>
        </w:rPr>
        <w:t xml:space="preserve">, </w:t>
      </w:r>
      <w:r w:rsidR="003D68F4" w:rsidRPr="003F3F18">
        <w:rPr>
          <w:sz w:val="24"/>
          <w:szCs w:val="24"/>
          <w:lang w:val="en-US"/>
        </w:rPr>
        <w:t>but</w:t>
      </w:r>
      <w:r w:rsidR="00FF69FC" w:rsidRPr="003F3F18">
        <w:rPr>
          <w:sz w:val="24"/>
          <w:szCs w:val="24"/>
          <w:lang w:val="en-US"/>
        </w:rPr>
        <w:t xml:space="preserve"> agreed to recognize the plan</w:t>
      </w:r>
      <w:r w:rsidR="00153A75" w:rsidRPr="003F3F18">
        <w:rPr>
          <w:sz w:val="24"/>
          <w:szCs w:val="24"/>
          <w:lang w:val="en-US"/>
        </w:rPr>
        <w:t xml:space="preserve"> under chapter 15</w:t>
      </w:r>
      <w:r w:rsidR="00053F5A" w:rsidRPr="003F3F18">
        <w:rPr>
          <w:sz w:val="24"/>
          <w:szCs w:val="24"/>
          <w:lang w:val="en-US"/>
        </w:rPr>
        <w:t xml:space="preserve"> of the Bankruptcy Code</w:t>
      </w:r>
      <w:r w:rsidR="002F4C96" w:rsidRPr="003F3F18">
        <w:rPr>
          <w:sz w:val="24"/>
          <w:szCs w:val="24"/>
          <w:lang w:val="en-US"/>
        </w:rPr>
        <w:t>.</w:t>
      </w:r>
      <w:r w:rsidR="00FF69FC" w:rsidRPr="00F70BAF">
        <w:rPr>
          <w:rStyle w:val="Refdenotaderodap"/>
          <w:sz w:val="24"/>
          <w:szCs w:val="24"/>
          <w:lang w:val="en-US"/>
        </w:rPr>
        <w:footnoteReference w:id="131"/>
      </w:r>
      <w:r w:rsidR="002F4C96" w:rsidRPr="00F70BAF">
        <w:rPr>
          <w:sz w:val="24"/>
          <w:szCs w:val="24"/>
          <w:lang w:val="en-US"/>
        </w:rPr>
        <w:t xml:space="preserve"> </w:t>
      </w:r>
      <w:r w:rsidR="00F546A6" w:rsidRPr="00F70BAF">
        <w:rPr>
          <w:sz w:val="24"/>
          <w:szCs w:val="24"/>
          <w:lang w:val="en-US"/>
        </w:rPr>
        <w:t xml:space="preserve">Another aggressive </w:t>
      </w:r>
      <w:r w:rsidR="002813AA">
        <w:rPr>
          <w:sz w:val="24"/>
          <w:szCs w:val="24"/>
          <w:lang w:val="en-US"/>
        </w:rPr>
        <w:t>instance of</w:t>
      </w:r>
      <w:r w:rsidR="00F546A6" w:rsidRPr="00F70BAF">
        <w:rPr>
          <w:sz w:val="24"/>
          <w:szCs w:val="24"/>
          <w:lang w:val="en-US"/>
        </w:rPr>
        <w:t xml:space="preserve"> substantive consolidation concerned </w:t>
      </w:r>
      <w:r w:rsidR="00783FE9">
        <w:rPr>
          <w:sz w:val="24"/>
          <w:szCs w:val="24"/>
          <w:lang w:val="en-US"/>
        </w:rPr>
        <w:t>the</w:t>
      </w:r>
      <w:r w:rsidR="00F546A6" w:rsidRPr="00F70BAF">
        <w:rPr>
          <w:sz w:val="24"/>
          <w:szCs w:val="24"/>
          <w:lang w:val="en-US"/>
        </w:rPr>
        <w:t xml:space="preserve"> restructuring plan of parent oil company OGX</w:t>
      </w:r>
      <w:r w:rsidR="00783FE9">
        <w:rPr>
          <w:sz w:val="24"/>
          <w:szCs w:val="24"/>
          <w:lang w:val="en-US"/>
        </w:rPr>
        <w:t>, which included</w:t>
      </w:r>
      <w:r w:rsidR="00264E37">
        <w:rPr>
          <w:sz w:val="24"/>
          <w:szCs w:val="24"/>
          <w:lang w:val="en-US"/>
        </w:rPr>
        <w:t xml:space="preserve"> the firm’s</w:t>
      </w:r>
      <w:r w:rsidR="00F546A6" w:rsidRPr="00F70BAF">
        <w:rPr>
          <w:sz w:val="24"/>
          <w:szCs w:val="24"/>
          <w:lang w:val="en-US"/>
        </w:rPr>
        <w:t xml:space="preserve"> Austrian</w:t>
      </w:r>
      <w:r w:rsidR="001F0F7C">
        <w:rPr>
          <w:sz w:val="24"/>
          <w:szCs w:val="24"/>
          <w:lang w:val="en-US"/>
        </w:rPr>
        <w:t xml:space="preserve"> financial </w:t>
      </w:r>
      <w:r w:rsidR="00F546A6" w:rsidRPr="00F70BAF">
        <w:rPr>
          <w:sz w:val="24"/>
          <w:szCs w:val="24"/>
          <w:lang w:val="en-US"/>
        </w:rPr>
        <w:t>subsid</w:t>
      </w:r>
      <w:r w:rsidR="00783FE9">
        <w:rPr>
          <w:sz w:val="24"/>
          <w:szCs w:val="24"/>
          <w:lang w:val="en-US"/>
        </w:rPr>
        <w:t>iaries</w:t>
      </w:r>
      <w:r w:rsidR="00966478">
        <w:rPr>
          <w:sz w:val="24"/>
          <w:szCs w:val="24"/>
          <w:lang w:val="en-US"/>
        </w:rPr>
        <w:t>,</w:t>
      </w:r>
      <w:r w:rsidR="00060A1A">
        <w:rPr>
          <w:sz w:val="24"/>
          <w:szCs w:val="24"/>
          <w:lang w:val="en-US"/>
        </w:rPr>
        <w:t xml:space="preserve"> </w:t>
      </w:r>
      <w:r w:rsidR="00F546A6" w:rsidRPr="00F70BAF">
        <w:rPr>
          <w:sz w:val="24"/>
          <w:szCs w:val="24"/>
          <w:lang w:val="en-US"/>
        </w:rPr>
        <w:t xml:space="preserve">whose credit agreements </w:t>
      </w:r>
      <w:proofErr w:type="gramStart"/>
      <w:r w:rsidR="00F546A6" w:rsidRPr="00F70BAF">
        <w:rPr>
          <w:sz w:val="24"/>
          <w:szCs w:val="24"/>
          <w:lang w:val="en-US"/>
        </w:rPr>
        <w:t>were governed</w:t>
      </w:r>
      <w:proofErr w:type="gramEnd"/>
      <w:r w:rsidR="00F546A6" w:rsidRPr="00F70BAF">
        <w:rPr>
          <w:sz w:val="24"/>
          <w:szCs w:val="24"/>
          <w:lang w:val="en-US"/>
        </w:rPr>
        <w:t xml:space="preserve"> by U.S. law.</w:t>
      </w:r>
      <w:r w:rsidR="003563C8">
        <w:rPr>
          <w:rStyle w:val="Refdenotaderodap"/>
          <w:sz w:val="24"/>
          <w:szCs w:val="24"/>
          <w:lang w:val="en-US"/>
        </w:rPr>
        <w:footnoteReference w:id="132"/>
      </w:r>
      <w:r w:rsidR="00F546A6" w:rsidRPr="00F70BAF">
        <w:rPr>
          <w:sz w:val="24"/>
          <w:szCs w:val="24"/>
          <w:lang w:val="en-US"/>
        </w:rPr>
        <w:t xml:space="preserve"> </w:t>
      </w:r>
    </w:p>
    <w:p w:rsidR="00EF0D1D" w:rsidRDefault="00EF0D1D" w:rsidP="00EA168A">
      <w:pPr>
        <w:jc w:val="both"/>
        <w:rPr>
          <w:sz w:val="24"/>
          <w:szCs w:val="24"/>
          <w:lang w:val="en-US"/>
        </w:rPr>
      </w:pPr>
      <w:r>
        <w:rPr>
          <w:sz w:val="24"/>
          <w:szCs w:val="24"/>
          <w:lang w:val="en-US"/>
        </w:rPr>
        <w:tab/>
      </w:r>
      <w:r w:rsidR="005B38BE">
        <w:rPr>
          <w:sz w:val="24"/>
          <w:szCs w:val="24"/>
          <w:lang w:val="en-US"/>
        </w:rPr>
        <w:t>In other</w:t>
      </w:r>
      <w:r>
        <w:rPr>
          <w:sz w:val="24"/>
          <w:szCs w:val="24"/>
          <w:lang w:val="en-US"/>
        </w:rPr>
        <w:t xml:space="preserve"> areas, such as tax law, higher courts adopt a relatively restrictive stance to veil piercing, imposing liability only on managers and controlling shareholders that have committed unlawful acts beyond the non-payment of the taxes due.</w:t>
      </w:r>
      <w:r>
        <w:rPr>
          <w:rStyle w:val="Refdenotaderodap"/>
          <w:sz w:val="24"/>
          <w:szCs w:val="24"/>
          <w:lang w:val="en-US"/>
        </w:rPr>
        <w:footnoteReference w:id="133"/>
      </w:r>
      <w:r w:rsidR="001E7843">
        <w:rPr>
          <w:sz w:val="24"/>
          <w:szCs w:val="24"/>
          <w:lang w:val="en-US"/>
        </w:rPr>
        <w:t xml:space="preserve"> Nevertheless, the examination of the “law in action” </w:t>
      </w:r>
      <w:r w:rsidR="005B38BE">
        <w:rPr>
          <w:sz w:val="24"/>
          <w:szCs w:val="24"/>
          <w:lang w:val="en-US"/>
        </w:rPr>
        <w:t>paints</w:t>
      </w:r>
      <w:r w:rsidR="001E7843">
        <w:rPr>
          <w:sz w:val="24"/>
          <w:szCs w:val="24"/>
          <w:lang w:val="en-US"/>
        </w:rPr>
        <w:t xml:space="preserve"> a different picture. Tax authorities </w:t>
      </w:r>
      <w:r w:rsidR="00975453">
        <w:rPr>
          <w:sz w:val="24"/>
          <w:szCs w:val="24"/>
          <w:lang w:val="en-US"/>
        </w:rPr>
        <w:t xml:space="preserve">often issue tax bills against shareholders and managers, who must then make a deposit of the amounts charged to </w:t>
      </w:r>
      <w:r w:rsidR="00743514">
        <w:rPr>
          <w:sz w:val="24"/>
          <w:szCs w:val="24"/>
          <w:lang w:val="en-US"/>
        </w:rPr>
        <w:t>challenge them</w:t>
      </w:r>
      <w:r w:rsidR="00975453">
        <w:rPr>
          <w:sz w:val="24"/>
          <w:szCs w:val="24"/>
          <w:lang w:val="en-US"/>
        </w:rPr>
        <w:t xml:space="preserve"> in court</w:t>
      </w:r>
      <w:r w:rsidR="001E7843">
        <w:rPr>
          <w:sz w:val="24"/>
          <w:szCs w:val="24"/>
          <w:lang w:val="en-US"/>
        </w:rPr>
        <w:t xml:space="preserve">—a major practical burden. </w:t>
      </w:r>
      <w:r w:rsidR="00711861">
        <w:rPr>
          <w:sz w:val="24"/>
          <w:szCs w:val="24"/>
          <w:lang w:val="en-US"/>
        </w:rPr>
        <w:t>T</w:t>
      </w:r>
      <w:r w:rsidR="001E7843">
        <w:rPr>
          <w:sz w:val="24"/>
          <w:szCs w:val="24"/>
          <w:lang w:val="en-US"/>
        </w:rPr>
        <w:t>his practice, combined with</w:t>
      </w:r>
      <w:r w:rsidR="00975453">
        <w:rPr>
          <w:sz w:val="24"/>
          <w:szCs w:val="24"/>
          <w:lang w:val="en-US"/>
        </w:rPr>
        <w:t xml:space="preserve"> </w:t>
      </w:r>
      <w:proofErr w:type="spellStart"/>
      <w:r w:rsidR="00975453">
        <w:rPr>
          <w:sz w:val="24"/>
          <w:szCs w:val="24"/>
          <w:lang w:val="en-US"/>
        </w:rPr>
        <w:t>fisc</w:t>
      </w:r>
      <w:proofErr w:type="spellEnd"/>
      <w:r w:rsidR="00975453">
        <w:rPr>
          <w:sz w:val="24"/>
          <w:szCs w:val="24"/>
          <w:lang w:val="en-US"/>
        </w:rPr>
        <w:t>-friendly</w:t>
      </w:r>
      <w:r w:rsidR="001E7843">
        <w:rPr>
          <w:sz w:val="24"/>
          <w:szCs w:val="24"/>
          <w:lang w:val="en-US"/>
        </w:rPr>
        <w:t xml:space="preserve"> interpretations by lower courts</w:t>
      </w:r>
      <w:r w:rsidR="00C9401B">
        <w:rPr>
          <w:sz w:val="24"/>
          <w:szCs w:val="24"/>
          <w:lang w:val="en-US"/>
        </w:rPr>
        <w:t xml:space="preserve"> and the fact that payment of taxes extinguishes possible criminal penalties under Brazilian law</w:t>
      </w:r>
      <w:r w:rsidR="001E7843">
        <w:rPr>
          <w:sz w:val="24"/>
          <w:szCs w:val="24"/>
          <w:lang w:val="en-US"/>
        </w:rPr>
        <w:t xml:space="preserve">, </w:t>
      </w:r>
      <w:r w:rsidR="00711861">
        <w:rPr>
          <w:sz w:val="24"/>
          <w:szCs w:val="24"/>
          <w:lang w:val="en-US"/>
        </w:rPr>
        <w:t>allegedly</w:t>
      </w:r>
      <w:r w:rsidR="00025900">
        <w:rPr>
          <w:sz w:val="24"/>
          <w:szCs w:val="24"/>
          <w:lang w:val="en-US"/>
        </w:rPr>
        <w:t xml:space="preserve"> leads to</w:t>
      </w:r>
      <w:r w:rsidR="001E7843">
        <w:rPr>
          <w:sz w:val="24"/>
          <w:szCs w:val="24"/>
          <w:lang w:val="en-US"/>
        </w:rPr>
        <w:t xml:space="preserve"> a system of “judicial blackmailing” against shareholders and </w:t>
      </w:r>
      <w:r w:rsidR="00711861">
        <w:rPr>
          <w:sz w:val="24"/>
          <w:szCs w:val="24"/>
          <w:lang w:val="en-US"/>
        </w:rPr>
        <w:t>managers</w:t>
      </w:r>
      <w:r w:rsidR="001E7843">
        <w:rPr>
          <w:sz w:val="24"/>
          <w:szCs w:val="24"/>
          <w:lang w:val="en-US"/>
        </w:rPr>
        <w:t>.</w:t>
      </w:r>
      <w:r w:rsidR="003F532B">
        <w:rPr>
          <w:rStyle w:val="Refdenotaderodap"/>
          <w:sz w:val="24"/>
          <w:szCs w:val="24"/>
          <w:lang w:val="en-US"/>
        </w:rPr>
        <w:footnoteReference w:id="134"/>
      </w:r>
      <w:r w:rsidR="001E7843">
        <w:rPr>
          <w:sz w:val="24"/>
          <w:szCs w:val="24"/>
          <w:lang w:val="en-US"/>
        </w:rPr>
        <w:t xml:space="preserve"> </w:t>
      </w:r>
    </w:p>
    <w:p w:rsidR="005B38BE" w:rsidRDefault="005B38BE" w:rsidP="005B38BE">
      <w:pPr>
        <w:ind w:firstLine="708"/>
        <w:jc w:val="both"/>
        <w:rPr>
          <w:sz w:val="24"/>
          <w:szCs w:val="24"/>
          <w:lang w:val="en-US"/>
        </w:rPr>
      </w:pPr>
      <w:r>
        <w:rPr>
          <w:sz w:val="24"/>
          <w:szCs w:val="24"/>
          <w:lang w:val="en-US"/>
        </w:rPr>
        <w:lastRenderedPageBreak/>
        <w:t xml:space="preserve">For the most part, the judiciary has not only endorsed, </w:t>
      </w:r>
      <w:proofErr w:type="gramStart"/>
      <w:r>
        <w:rPr>
          <w:sz w:val="24"/>
          <w:szCs w:val="24"/>
          <w:lang w:val="en-US"/>
        </w:rPr>
        <w:t>but</w:t>
      </w:r>
      <w:proofErr w:type="gramEnd"/>
      <w:r>
        <w:rPr>
          <w:sz w:val="24"/>
          <w:szCs w:val="24"/>
          <w:lang w:val="en-US"/>
        </w:rPr>
        <w:t xml:space="preserve"> even expanded, the statutory instances of shareholder liability for corporate obligations. Labor courts, in particular, have routinely pierced the corporate veil to reach the assets of shareholders (including, at several occasions, minority shareholders) of close corporations, based on a logic of “deep pockets”—or, in their technical terms, the unwritten “principle of non-imputation of the risks of the enterprise to the employee.”</w:t>
      </w:r>
      <w:r>
        <w:rPr>
          <w:rStyle w:val="Refdenotaderodap"/>
          <w:sz w:val="24"/>
          <w:szCs w:val="24"/>
          <w:lang w:val="en-US"/>
        </w:rPr>
        <w:footnoteReference w:id="135"/>
      </w:r>
      <w:r>
        <w:rPr>
          <w:sz w:val="24"/>
          <w:szCs w:val="24"/>
          <w:lang w:val="en-US"/>
        </w:rPr>
        <w:t xml:space="preserve"> Strikingly, the liability imposed on the relevant managers and shareholders is joint and several, not pro rata.</w:t>
      </w:r>
      <w:bookmarkStart w:id="24" w:name="_Ref455601928"/>
      <w:r>
        <w:rPr>
          <w:rStyle w:val="Refdenotaderodap"/>
          <w:sz w:val="24"/>
          <w:szCs w:val="24"/>
          <w:lang w:val="en-US"/>
        </w:rPr>
        <w:footnoteReference w:id="136"/>
      </w:r>
      <w:bookmarkEnd w:id="24"/>
      <w:r>
        <w:rPr>
          <w:sz w:val="24"/>
          <w:szCs w:val="24"/>
          <w:lang w:val="en-US"/>
        </w:rPr>
        <w:t xml:space="preserve"> Virtually all such cases involve close corporations, so the applicability of veil piercing to public companies remains largely untested. The one precedent by the Superior Court of Labor (</w:t>
      </w:r>
      <w:r>
        <w:rPr>
          <w:i/>
          <w:sz w:val="24"/>
          <w:szCs w:val="24"/>
          <w:lang w:val="en-US"/>
        </w:rPr>
        <w:t xml:space="preserve">Tribunal Superior do </w:t>
      </w:r>
      <w:proofErr w:type="spellStart"/>
      <w:r>
        <w:rPr>
          <w:i/>
          <w:sz w:val="24"/>
          <w:szCs w:val="24"/>
          <w:lang w:val="en-US"/>
        </w:rPr>
        <w:t>Trabalho</w:t>
      </w:r>
      <w:proofErr w:type="spellEnd"/>
      <w:r>
        <w:rPr>
          <w:sz w:val="24"/>
          <w:szCs w:val="24"/>
          <w:lang w:val="en-US"/>
        </w:rPr>
        <w:t xml:space="preserve"> – TST) involving a publicly-traded company permitted veil piercing to reach the assets of a shareholder who had been an </w:t>
      </w:r>
      <w:proofErr w:type="spellStart"/>
      <w:r>
        <w:rPr>
          <w:sz w:val="24"/>
          <w:szCs w:val="24"/>
          <w:lang w:val="en-US"/>
        </w:rPr>
        <w:t>offficer</w:t>
      </w:r>
      <w:proofErr w:type="spellEnd"/>
      <w:r>
        <w:rPr>
          <w:sz w:val="24"/>
          <w:szCs w:val="24"/>
          <w:lang w:val="en-US"/>
        </w:rPr>
        <w:t xml:space="preserve"> prior to the employee’s hiring.</w:t>
      </w:r>
      <w:r>
        <w:rPr>
          <w:rStyle w:val="Refdenotaderodap"/>
          <w:sz w:val="24"/>
          <w:szCs w:val="24"/>
          <w:lang w:val="en-US"/>
        </w:rPr>
        <w:footnoteReference w:id="137"/>
      </w:r>
      <w:r>
        <w:rPr>
          <w:sz w:val="24"/>
          <w:szCs w:val="24"/>
          <w:lang w:val="en-US"/>
        </w:rPr>
        <w:t xml:space="preserve"> </w:t>
      </w:r>
    </w:p>
    <w:p w:rsidR="00D044BD" w:rsidRPr="00D044BD" w:rsidRDefault="00D044BD" w:rsidP="00D401C5">
      <w:pPr>
        <w:ind w:firstLine="708"/>
        <w:jc w:val="both"/>
        <w:rPr>
          <w:b/>
          <w:sz w:val="24"/>
          <w:szCs w:val="24"/>
          <w:lang w:val="en-US"/>
        </w:rPr>
      </w:pPr>
      <w:r>
        <w:rPr>
          <w:sz w:val="24"/>
          <w:szCs w:val="24"/>
          <w:lang w:val="en-US"/>
        </w:rPr>
        <w:t xml:space="preserve">At least in dictum, </w:t>
      </w:r>
      <w:r w:rsidR="00D401C5">
        <w:rPr>
          <w:sz w:val="24"/>
          <w:szCs w:val="24"/>
          <w:lang w:val="en-US"/>
        </w:rPr>
        <w:t>some Brazilian courts</w:t>
      </w:r>
      <w:r>
        <w:rPr>
          <w:sz w:val="24"/>
          <w:szCs w:val="24"/>
          <w:lang w:val="en-US"/>
        </w:rPr>
        <w:t xml:space="preserve"> have</w:t>
      </w:r>
      <w:r w:rsidR="00AD4A6F">
        <w:rPr>
          <w:sz w:val="24"/>
          <w:szCs w:val="24"/>
          <w:lang w:val="en-US"/>
        </w:rPr>
        <w:t xml:space="preserve"> </w:t>
      </w:r>
      <w:r>
        <w:rPr>
          <w:sz w:val="24"/>
          <w:szCs w:val="24"/>
          <w:lang w:val="en-US"/>
        </w:rPr>
        <w:t xml:space="preserve">drawn a distinction between </w:t>
      </w:r>
      <w:r w:rsidR="00AD4A6F">
        <w:rPr>
          <w:sz w:val="24"/>
          <w:szCs w:val="24"/>
          <w:lang w:val="en-US"/>
        </w:rPr>
        <w:t xml:space="preserve">voluntary and involuntary creditors. </w:t>
      </w:r>
      <w:proofErr w:type="gramStart"/>
      <w:r w:rsidR="00D401C5">
        <w:rPr>
          <w:sz w:val="24"/>
          <w:szCs w:val="24"/>
          <w:lang w:val="en-US"/>
        </w:rPr>
        <w:t xml:space="preserve">Even though this distinction lacks any statutory basis, </w:t>
      </w:r>
      <w:r w:rsidR="007E17DB">
        <w:rPr>
          <w:sz w:val="24"/>
          <w:szCs w:val="24"/>
          <w:lang w:val="en-US"/>
        </w:rPr>
        <w:t>an</w:t>
      </w:r>
      <w:r w:rsidR="00154EFA">
        <w:rPr>
          <w:sz w:val="24"/>
          <w:szCs w:val="24"/>
          <w:lang w:val="en-US"/>
        </w:rPr>
        <w:t xml:space="preserve"> STJ</w:t>
      </w:r>
      <w:r w:rsidR="007E17DB">
        <w:rPr>
          <w:sz w:val="24"/>
          <w:szCs w:val="24"/>
          <w:lang w:val="en-US"/>
        </w:rPr>
        <w:t xml:space="preserve"> opinion</w:t>
      </w:r>
      <w:r w:rsidR="00154EFA">
        <w:rPr>
          <w:sz w:val="24"/>
          <w:szCs w:val="24"/>
          <w:lang w:val="en-US"/>
        </w:rPr>
        <w:t xml:space="preserve"> has noted</w:t>
      </w:r>
      <w:r w:rsidR="00D401C5">
        <w:rPr>
          <w:sz w:val="24"/>
          <w:szCs w:val="24"/>
          <w:lang w:val="en-US"/>
        </w:rPr>
        <w:t xml:space="preserve"> “the rules on liability of shareholders must be applied with the indispensable balancing of values, depending on whether the controversy emerges from the company and its voluntary creditors, or between the company and its involuntary creditors, as is the case of the </w:t>
      </w:r>
      <w:proofErr w:type="spellStart"/>
      <w:r w:rsidR="00D401C5">
        <w:rPr>
          <w:sz w:val="24"/>
          <w:szCs w:val="24"/>
          <w:lang w:val="en-US"/>
        </w:rPr>
        <w:t>fisc</w:t>
      </w:r>
      <w:proofErr w:type="spellEnd"/>
      <w:r w:rsidR="00D401C5">
        <w:rPr>
          <w:sz w:val="24"/>
          <w:szCs w:val="24"/>
          <w:lang w:val="en-US"/>
        </w:rPr>
        <w:t>, INSS [the social security institute], workers in general, consumers, or tort victims.”</w:t>
      </w:r>
      <w:r w:rsidR="00D401C5">
        <w:rPr>
          <w:rStyle w:val="Refdenotaderodap"/>
          <w:sz w:val="24"/>
          <w:szCs w:val="24"/>
          <w:lang w:val="en-US"/>
        </w:rPr>
        <w:footnoteReference w:id="138"/>
      </w:r>
      <w:proofErr w:type="gramEnd"/>
      <w:r w:rsidR="00D401C5">
        <w:rPr>
          <w:sz w:val="24"/>
          <w:szCs w:val="24"/>
          <w:lang w:val="en-US"/>
        </w:rPr>
        <w:t xml:space="preserve"> </w:t>
      </w:r>
      <w:r w:rsidR="00C76BD4">
        <w:rPr>
          <w:sz w:val="24"/>
          <w:szCs w:val="24"/>
          <w:lang w:val="en-US"/>
        </w:rPr>
        <w:t xml:space="preserve">While the opinion does not cite relevant authorities on this point, the intellectual origin of this argument </w:t>
      </w:r>
      <w:r w:rsidR="00BD3E20">
        <w:rPr>
          <w:sz w:val="24"/>
          <w:szCs w:val="24"/>
          <w:lang w:val="en-US"/>
        </w:rPr>
        <w:t xml:space="preserve">likely traces back to the </w:t>
      </w:r>
      <w:r w:rsidR="00C76BD4">
        <w:rPr>
          <w:sz w:val="24"/>
          <w:szCs w:val="24"/>
          <w:lang w:val="en-US"/>
        </w:rPr>
        <w:t xml:space="preserve">U.S. law-and-economics </w:t>
      </w:r>
      <w:r w:rsidR="007214AF">
        <w:rPr>
          <w:sz w:val="24"/>
          <w:szCs w:val="24"/>
          <w:lang w:val="en-US"/>
        </w:rPr>
        <w:t xml:space="preserve">literature </w:t>
      </w:r>
      <w:r w:rsidR="00C76BD4">
        <w:rPr>
          <w:sz w:val="24"/>
          <w:szCs w:val="24"/>
          <w:lang w:val="en-US"/>
        </w:rPr>
        <w:t>and its partial reception by Brazilian scholars.</w:t>
      </w:r>
      <w:r w:rsidR="007214AF">
        <w:rPr>
          <w:rStyle w:val="Refdenotaderodap"/>
          <w:sz w:val="24"/>
          <w:szCs w:val="24"/>
          <w:lang w:val="en-US"/>
        </w:rPr>
        <w:footnoteReference w:id="139"/>
      </w:r>
      <w:r w:rsidR="00C76BD4">
        <w:rPr>
          <w:sz w:val="24"/>
          <w:szCs w:val="24"/>
          <w:lang w:val="en-US"/>
        </w:rPr>
        <w:t xml:space="preserve"> </w:t>
      </w:r>
    </w:p>
    <w:p w:rsidR="00D42A07" w:rsidRDefault="00D42A07" w:rsidP="00D42A07">
      <w:pPr>
        <w:ind w:firstLine="708"/>
        <w:jc w:val="both"/>
        <w:rPr>
          <w:sz w:val="24"/>
          <w:szCs w:val="24"/>
          <w:lang w:val="en-US"/>
        </w:rPr>
      </w:pPr>
      <w:r>
        <w:rPr>
          <w:sz w:val="24"/>
          <w:szCs w:val="24"/>
          <w:lang w:val="en-US"/>
        </w:rPr>
        <w:t xml:space="preserve">The proliferation of exceptions certainly does not eradicate the protection of limited liability in its entirety. In private transactions outside of the labor and consumer settings, the attribute of limited liability </w:t>
      </w:r>
      <w:proofErr w:type="gramStart"/>
      <w:r>
        <w:rPr>
          <w:sz w:val="24"/>
          <w:szCs w:val="24"/>
          <w:lang w:val="en-US"/>
        </w:rPr>
        <w:t>is generally upheld</w:t>
      </w:r>
      <w:proofErr w:type="gramEnd"/>
      <w:r>
        <w:rPr>
          <w:sz w:val="24"/>
          <w:szCs w:val="24"/>
          <w:lang w:val="en-US"/>
        </w:rPr>
        <w:t>.</w:t>
      </w:r>
      <w:r>
        <w:rPr>
          <w:rStyle w:val="Refdenotaderodap"/>
          <w:sz w:val="24"/>
          <w:szCs w:val="24"/>
          <w:lang w:val="en-US"/>
        </w:rPr>
        <w:footnoteReference w:id="140"/>
      </w:r>
      <w:r>
        <w:rPr>
          <w:sz w:val="24"/>
          <w:szCs w:val="24"/>
          <w:lang w:val="en-US"/>
        </w:rPr>
        <w:t xml:space="preserve"> Veil piercing in this case </w:t>
      </w:r>
      <w:proofErr w:type="gramStart"/>
      <w:r>
        <w:rPr>
          <w:sz w:val="24"/>
          <w:szCs w:val="24"/>
          <w:lang w:val="en-US"/>
        </w:rPr>
        <w:t>is subject to the more rigorous prerequisites set</w:t>
      </w:r>
      <w:proofErr w:type="gramEnd"/>
      <w:r>
        <w:rPr>
          <w:sz w:val="24"/>
          <w:szCs w:val="24"/>
          <w:lang w:val="en-US"/>
        </w:rPr>
        <w:t xml:space="preserve"> forth by Art. </w:t>
      </w:r>
      <w:proofErr w:type="gramStart"/>
      <w:r>
        <w:rPr>
          <w:sz w:val="24"/>
          <w:szCs w:val="24"/>
          <w:lang w:val="en-US"/>
        </w:rPr>
        <w:t>50</w:t>
      </w:r>
      <w:proofErr w:type="gramEnd"/>
      <w:r>
        <w:rPr>
          <w:sz w:val="24"/>
          <w:szCs w:val="24"/>
          <w:lang w:val="en-US"/>
        </w:rPr>
        <w:t xml:space="preserve"> of the Civil Code, which require “deviation of corporate purpose” or “commingling of assets.” In contrast to their stance in other areas, courts have been reluctant to pierce the corporate veil in civil and commercial contexts, even to the point of imposing conditions that</w:t>
      </w:r>
      <w:r w:rsidR="00562F73">
        <w:rPr>
          <w:sz w:val="24"/>
          <w:szCs w:val="24"/>
          <w:lang w:val="en-US"/>
        </w:rPr>
        <w:t xml:space="preserve"> go</w:t>
      </w:r>
      <w:r>
        <w:rPr>
          <w:sz w:val="24"/>
          <w:szCs w:val="24"/>
          <w:lang w:val="en-US"/>
        </w:rPr>
        <w:t xml:space="preserve"> beyond those prescribed in the Code. For instance, an </w:t>
      </w:r>
      <w:proofErr w:type="spellStart"/>
      <w:r>
        <w:rPr>
          <w:i/>
          <w:sz w:val="24"/>
          <w:szCs w:val="24"/>
          <w:lang w:val="en-US"/>
        </w:rPr>
        <w:t>en</w:t>
      </w:r>
      <w:proofErr w:type="spellEnd"/>
      <w:r>
        <w:rPr>
          <w:i/>
          <w:sz w:val="24"/>
          <w:szCs w:val="24"/>
          <w:lang w:val="en-US"/>
        </w:rPr>
        <w:t xml:space="preserve"> banc </w:t>
      </w:r>
      <w:r>
        <w:rPr>
          <w:sz w:val="24"/>
          <w:szCs w:val="24"/>
          <w:lang w:val="en-US"/>
        </w:rPr>
        <w:t xml:space="preserve">decision by the STJ has held that “irregular dissolution”—which takes place when the company terminates its activities </w:t>
      </w:r>
      <w:r>
        <w:rPr>
          <w:sz w:val="24"/>
          <w:szCs w:val="24"/>
          <w:lang w:val="en-US"/>
        </w:rPr>
        <w:lastRenderedPageBreak/>
        <w:t>without undergoing formal liquidation proceedings—is not a ground for veil piercing,</w:t>
      </w:r>
      <w:r>
        <w:rPr>
          <w:rStyle w:val="Refdenotaderodap"/>
          <w:sz w:val="24"/>
          <w:szCs w:val="24"/>
          <w:lang w:val="en-US"/>
        </w:rPr>
        <w:footnoteReference w:id="141"/>
      </w:r>
      <w:r>
        <w:rPr>
          <w:sz w:val="24"/>
          <w:szCs w:val="24"/>
          <w:lang w:val="en-US"/>
        </w:rPr>
        <w:t xml:space="preserve"> even though this practice is likely to result in commingling of assets to the detriment of corporate creditors. In fact, the court went as far as to state that veil piercing is inadmissible in the absence of fraud or willful misconduct, when no such requirement </w:t>
      </w:r>
      <w:proofErr w:type="gramStart"/>
      <w:r>
        <w:rPr>
          <w:sz w:val="24"/>
          <w:szCs w:val="24"/>
          <w:lang w:val="en-US"/>
        </w:rPr>
        <w:t>can be found</w:t>
      </w:r>
      <w:proofErr w:type="gramEnd"/>
      <w:r>
        <w:rPr>
          <w:sz w:val="24"/>
          <w:szCs w:val="24"/>
          <w:lang w:val="en-US"/>
        </w:rPr>
        <w:t xml:space="preserve"> in the statutory text.</w:t>
      </w:r>
      <w:r>
        <w:rPr>
          <w:rStyle w:val="Refdenotaderodap"/>
          <w:sz w:val="24"/>
          <w:szCs w:val="24"/>
          <w:lang w:val="en-US"/>
        </w:rPr>
        <w:footnoteReference w:id="142"/>
      </w:r>
      <w:r>
        <w:rPr>
          <w:sz w:val="24"/>
          <w:szCs w:val="24"/>
          <w:lang w:val="en-US"/>
        </w:rPr>
        <w:t xml:space="preserve"> </w:t>
      </w:r>
    </w:p>
    <w:p w:rsidR="00D42A07" w:rsidRDefault="00D42A07" w:rsidP="00D42A07">
      <w:pPr>
        <w:ind w:firstLine="708"/>
        <w:jc w:val="both"/>
        <w:rPr>
          <w:sz w:val="24"/>
          <w:szCs w:val="24"/>
          <w:lang w:val="en-US"/>
        </w:rPr>
      </w:pPr>
      <w:r>
        <w:rPr>
          <w:sz w:val="24"/>
          <w:szCs w:val="24"/>
          <w:lang w:val="en-US"/>
        </w:rPr>
        <w:t xml:space="preserve">Moreover, an important precedent by Brazil’s Supreme Court took the bold view that statutory encroachment into limited liability may </w:t>
      </w:r>
      <w:proofErr w:type="gramStart"/>
      <w:r>
        <w:rPr>
          <w:sz w:val="24"/>
          <w:szCs w:val="24"/>
          <w:lang w:val="en-US"/>
        </w:rPr>
        <w:t>run afoul of</w:t>
      </w:r>
      <w:proofErr w:type="gramEnd"/>
      <w:r>
        <w:rPr>
          <w:sz w:val="24"/>
          <w:szCs w:val="24"/>
          <w:lang w:val="en-US"/>
        </w:rPr>
        <w:t xml:space="preserve"> the Constitution. The Court’s decision concerned a 1993 federal statute that made members of </w:t>
      </w:r>
      <w:proofErr w:type="spellStart"/>
      <w:r>
        <w:rPr>
          <w:i/>
          <w:sz w:val="24"/>
          <w:szCs w:val="24"/>
          <w:lang w:val="en-US"/>
        </w:rPr>
        <w:t>limitadas</w:t>
      </w:r>
      <w:proofErr w:type="spellEnd"/>
      <w:r>
        <w:rPr>
          <w:i/>
          <w:sz w:val="24"/>
          <w:szCs w:val="24"/>
          <w:lang w:val="en-US"/>
        </w:rPr>
        <w:t xml:space="preserve"> </w:t>
      </w:r>
      <w:r>
        <w:rPr>
          <w:sz w:val="24"/>
          <w:szCs w:val="24"/>
          <w:lang w:val="en-US"/>
        </w:rPr>
        <w:t>jointly and severally liable for the firms’ unpaid social security obligations.</w:t>
      </w:r>
      <w:r>
        <w:rPr>
          <w:rStyle w:val="Refdenotaderodap"/>
          <w:sz w:val="24"/>
          <w:szCs w:val="24"/>
          <w:lang w:val="en-US"/>
        </w:rPr>
        <w:footnoteReference w:id="143"/>
      </w:r>
      <w:r>
        <w:rPr>
          <w:sz w:val="24"/>
          <w:szCs w:val="24"/>
          <w:lang w:val="en-US"/>
        </w:rPr>
        <w:t xml:space="preserve"> The unanimous opinion in the case held the provision unconstitutional as unreasonable and unduly restrictive of private enterprise, thereby violating the constitutional right to freedom of trade, occupation and profession, as well as well as the free exercise of economic activity.</w:t>
      </w:r>
      <w:r>
        <w:rPr>
          <w:rStyle w:val="Refdenotaderodap"/>
          <w:sz w:val="24"/>
          <w:szCs w:val="24"/>
          <w:lang w:val="en-US"/>
        </w:rPr>
        <w:footnoteReference w:id="144"/>
      </w:r>
      <w:r>
        <w:rPr>
          <w:sz w:val="24"/>
          <w:szCs w:val="24"/>
          <w:lang w:val="en-US"/>
        </w:rPr>
        <w:t xml:space="preserve">  </w:t>
      </w:r>
    </w:p>
    <w:p w:rsidR="00E42353" w:rsidRDefault="007C182B" w:rsidP="00EA168A">
      <w:pPr>
        <w:jc w:val="both"/>
        <w:rPr>
          <w:sz w:val="24"/>
          <w:szCs w:val="24"/>
          <w:lang w:val="en-US"/>
        </w:rPr>
      </w:pPr>
      <w:r>
        <w:rPr>
          <w:sz w:val="24"/>
          <w:szCs w:val="24"/>
          <w:lang w:val="en-US"/>
        </w:rPr>
        <w:tab/>
      </w:r>
      <w:proofErr w:type="gramStart"/>
      <w:r w:rsidR="009C4F4D">
        <w:rPr>
          <w:sz w:val="24"/>
          <w:szCs w:val="24"/>
          <w:lang w:val="en-US"/>
        </w:rPr>
        <w:t>All in all</w:t>
      </w:r>
      <w:proofErr w:type="gramEnd"/>
      <w:r w:rsidR="009C4F4D">
        <w:rPr>
          <w:sz w:val="24"/>
          <w:szCs w:val="24"/>
          <w:lang w:val="en-US"/>
        </w:rPr>
        <w:t xml:space="preserve">, </w:t>
      </w:r>
      <w:r w:rsidR="00FB7B87">
        <w:rPr>
          <w:sz w:val="24"/>
          <w:szCs w:val="24"/>
          <w:lang w:val="en-US"/>
        </w:rPr>
        <w:t>however</w:t>
      </w:r>
      <w:r w:rsidR="00CF5F4D">
        <w:rPr>
          <w:sz w:val="24"/>
          <w:szCs w:val="24"/>
          <w:lang w:val="en-US"/>
        </w:rPr>
        <w:t>, the sweeping application of veil piercing in Brazil shows that the “sacred cow</w:t>
      </w:r>
      <w:r w:rsidR="001B6498">
        <w:rPr>
          <w:sz w:val="24"/>
          <w:szCs w:val="24"/>
          <w:lang w:val="en-US"/>
        </w:rPr>
        <w:t xml:space="preserve"> </w:t>
      </w:r>
      <w:r w:rsidR="00CF5F4D">
        <w:rPr>
          <w:sz w:val="24"/>
          <w:szCs w:val="24"/>
          <w:lang w:val="en-US"/>
        </w:rPr>
        <w:t>of limited liability</w:t>
      </w:r>
      <w:r w:rsidR="001B6498">
        <w:rPr>
          <w:sz w:val="24"/>
          <w:szCs w:val="24"/>
          <w:lang w:val="en-US"/>
        </w:rPr>
        <w:t>”</w:t>
      </w:r>
      <w:bookmarkStart w:id="25" w:name="_Ref456099380"/>
      <w:r w:rsidR="001B6498">
        <w:rPr>
          <w:rStyle w:val="Refdenotaderodap"/>
          <w:sz w:val="24"/>
          <w:szCs w:val="24"/>
          <w:lang w:val="en-US"/>
        </w:rPr>
        <w:footnoteReference w:id="145"/>
      </w:r>
      <w:bookmarkEnd w:id="25"/>
      <w:r w:rsidR="00CF5F4D">
        <w:rPr>
          <w:sz w:val="24"/>
          <w:szCs w:val="24"/>
          <w:lang w:val="en-US"/>
        </w:rPr>
        <w:t xml:space="preserve"> may not be so sacred after all.</w:t>
      </w:r>
      <w:r w:rsidR="006275AE">
        <w:rPr>
          <w:sz w:val="24"/>
          <w:szCs w:val="24"/>
          <w:lang w:val="en-US"/>
        </w:rPr>
        <w:t xml:space="preserve"> The Brazilian experience contradicts the conventional wisdom that political obstacles to imposing unlimited liability on shareholders are insurmountable.</w:t>
      </w:r>
      <w:r w:rsidR="00681225">
        <w:rPr>
          <w:rStyle w:val="Refdenotaderodap"/>
          <w:sz w:val="24"/>
          <w:szCs w:val="24"/>
          <w:lang w:val="en-US"/>
        </w:rPr>
        <w:footnoteReference w:id="146"/>
      </w:r>
      <w:r w:rsidR="006275AE">
        <w:rPr>
          <w:sz w:val="24"/>
          <w:szCs w:val="24"/>
          <w:lang w:val="en-US"/>
        </w:rPr>
        <w:t xml:space="preserve"> </w:t>
      </w:r>
      <w:r w:rsidR="005A716A">
        <w:rPr>
          <w:sz w:val="24"/>
          <w:szCs w:val="24"/>
          <w:lang w:val="en-US"/>
        </w:rPr>
        <w:t>Curiously, s</w:t>
      </w:r>
      <w:r w:rsidR="00190CB4">
        <w:rPr>
          <w:sz w:val="24"/>
          <w:szCs w:val="24"/>
          <w:lang w:val="en-US"/>
        </w:rPr>
        <w:t>uch</w:t>
      </w:r>
      <w:r w:rsidR="006275AE">
        <w:rPr>
          <w:sz w:val="24"/>
          <w:szCs w:val="24"/>
          <w:lang w:val="en-US"/>
        </w:rPr>
        <w:t xml:space="preserve"> dramatic erosion</w:t>
      </w:r>
      <w:r w:rsidR="00190CB4">
        <w:rPr>
          <w:sz w:val="24"/>
          <w:szCs w:val="24"/>
          <w:lang w:val="en-US"/>
        </w:rPr>
        <w:t xml:space="preserve"> of limited liability</w:t>
      </w:r>
      <w:r w:rsidR="006275AE">
        <w:rPr>
          <w:sz w:val="24"/>
          <w:szCs w:val="24"/>
          <w:lang w:val="en-US"/>
        </w:rPr>
        <w:t xml:space="preserve"> has taken place in a context in which existing elites have been very effective in opposing unfavorable reform efforts towards increased investor protection.</w:t>
      </w:r>
      <w:bookmarkStart w:id="26" w:name="_Ref456099748"/>
      <w:r w:rsidR="006275AE">
        <w:rPr>
          <w:rStyle w:val="Refdenotaderodap"/>
          <w:sz w:val="24"/>
          <w:szCs w:val="24"/>
          <w:lang w:val="en-US"/>
        </w:rPr>
        <w:footnoteReference w:id="147"/>
      </w:r>
      <w:bookmarkEnd w:id="26"/>
      <w:r w:rsidR="00396DB0">
        <w:rPr>
          <w:sz w:val="24"/>
          <w:szCs w:val="24"/>
          <w:lang w:val="en-US"/>
        </w:rPr>
        <w:t xml:space="preserve"> </w:t>
      </w:r>
    </w:p>
    <w:p w:rsidR="001F1294" w:rsidRDefault="00396DB0" w:rsidP="00E42353">
      <w:pPr>
        <w:ind w:firstLine="708"/>
        <w:jc w:val="both"/>
        <w:rPr>
          <w:sz w:val="24"/>
          <w:szCs w:val="24"/>
          <w:lang w:val="en-US"/>
        </w:rPr>
      </w:pPr>
      <w:r>
        <w:rPr>
          <w:sz w:val="24"/>
          <w:szCs w:val="24"/>
          <w:lang w:val="en-US"/>
        </w:rPr>
        <w:t xml:space="preserve">While business interests and legal scholars alike have repeatedly criticized the expansive and unprincipled application of unlimited liability by the </w:t>
      </w:r>
      <w:r w:rsidR="00E42353">
        <w:rPr>
          <w:sz w:val="24"/>
          <w:szCs w:val="24"/>
          <w:lang w:val="en-US"/>
        </w:rPr>
        <w:t xml:space="preserve">Brazilian judiciary, the </w:t>
      </w:r>
      <w:r w:rsidR="002942C1">
        <w:rPr>
          <w:sz w:val="24"/>
          <w:szCs w:val="24"/>
          <w:lang w:val="en-US"/>
        </w:rPr>
        <w:t>main attempts at</w:t>
      </w:r>
      <w:r w:rsidR="00E42353">
        <w:rPr>
          <w:sz w:val="24"/>
          <w:szCs w:val="24"/>
          <w:lang w:val="en-US"/>
        </w:rPr>
        <w:t xml:space="preserve"> reform </w:t>
      </w:r>
      <w:r w:rsidR="002942C1">
        <w:rPr>
          <w:sz w:val="24"/>
          <w:szCs w:val="24"/>
          <w:lang w:val="en-US"/>
        </w:rPr>
        <w:t xml:space="preserve">so far </w:t>
      </w:r>
      <w:r w:rsidR="00E42353">
        <w:rPr>
          <w:sz w:val="24"/>
          <w:szCs w:val="24"/>
          <w:lang w:val="en-US"/>
        </w:rPr>
        <w:t xml:space="preserve">have been </w:t>
      </w:r>
      <w:r w:rsidR="005370BE">
        <w:rPr>
          <w:sz w:val="24"/>
          <w:szCs w:val="24"/>
          <w:lang w:val="en-US"/>
        </w:rPr>
        <w:t>very narrow in scope</w:t>
      </w:r>
      <w:r w:rsidR="00E42353">
        <w:rPr>
          <w:sz w:val="24"/>
          <w:szCs w:val="24"/>
          <w:lang w:val="en-US"/>
        </w:rPr>
        <w:t xml:space="preserve"> and largely unsuccessful.</w:t>
      </w:r>
      <w:r w:rsidR="00681225">
        <w:rPr>
          <w:sz w:val="24"/>
          <w:szCs w:val="24"/>
          <w:lang w:val="en-US"/>
        </w:rPr>
        <w:t xml:space="preserve"> </w:t>
      </w:r>
      <w:r w:rsidR="00F400D8">
        <w:rPr>
          <w:sz w:val="24"/>
          <w:szCs w:val="24"/>
          <w:lang w:val="en-US"/>
        </w:rPr>
        <w:t xml:space="preserve">For instance, a broad law reform project aimed at fostering entrepreneurship in Brazil headed by Harvard Law Professor (then minister of Strategic Matters) Roberto </w:t>
      </w:r>
      <w:proofErr w:type="spellStart"/>
      <w:r w:rsidR="00F400D8">
        <w:rPr>
          <w:sz w:val="24"/>
          <w:szCs w:val="24"/>
          <w:lang w:val="en-US"/>
        </w:rPr>
        <w:t>Mangabeira</w:t>
      </w:r>
      <w:proofErr w:type="spellEnd"/>
      <w:r w:rsidR="00F400D8">
        <w:rPr>
          <w:sz w:val="24"/>
          <w:szCs w:val="24"/>
          <w:lang w:val="en-US"/>
        </w:rPr>
        <w:t xml:space="preserve"> Unger, </w:t>
      </w:r>
      <w:r w:rsidR="002728DB">
        <w:rPr>
          <w:sz w:val="24"/>
          <w:szCs w:val="24"/>
          <w:lang w:val="en-US"/>
        </w:rPr>
        <w:t>asserts</w:t>
      </w:r>
      <w:r w:rsidR="00F400D8">
        <w:rPr>
          <w:sz w:val="24"/>
          <w:szCs w:val="24"/>
          <w:lang w:val="en-US"/>
        </w:rPr>
        <w:t xml:space="preserve"> that the threat of shareholder liability </w:t>
      </w:r>
      <w:r w:rsidR="00D421D9">
        <w:rPr>
          <w:sz w:val="24"/>
          <w:szCs w:val="24"/>
          <w:lang w:val="en-US"/>
        </w:rPr>
        <w:t>hinders</w:t>
      </w:r>
      <w:r w:rsidR="00F400D8">
        <w:rPr>
          <w:sz w:val="24"/>
          <w:szCs w:val="24"/>
          <w:lang w:val="en-US"/>
        </w:rPr>
        <w:t xml:space="preserve"> the financing of entrepreneurial projects in Brazil.</w:t>
      </w:r>
      <w:bookmarkStart w:id="27" w:name="_Ref456103509"/>
      <w:r w:rsidR="001F1294">
        <w:rPr>
          <w:rStyle w:val="Refdenotaderodap"/>
          <w:sz w:val="24"/>
          <w:szCs w:val="24"/>
          <w:lang w:val="en-US"/>
        </w:rPr>
        <w:footnoteReference w:id="148"/>
      </w:r>
      <w:bookmarkEnd w:id="27"/>
      <w:r w:rsidR="00F400D8">
        <w:rPr>
          <w:sz w:val="24"/>
          <w:szCs w:val="24"/>
          <w:lang w:val="en-US"/>
        </w:rPr>
        <w:t xml:space="preserve"> </w:t>
      </w:r>
      <w:r w:rsidR="001F1294">
        <w:rPr>
          <w:sz w:val="24"/>
          <w:szCs w:val="24"/>
          <w:lang w:val="en-US"/>
        </w:rPr>
        <w:t>The suggested reform</w:t>
      </w:r>
      <w:proofErr w:type="gramStart"/>
      <w:r w:rsidR="001F1294">
        <w:rPr>
          <w:sz w:val="24"/>
          <w:szCs w:val="24"/>
          <w:lang w:val="en-US"/>
        </w:rPr>
        <w:t>—</w:t>
      </w:r>
      <w:r w:rsidR="001F1294">
        <w:rPr>
          <w:sz w:val="24"/>
          <w:szCs w:val="24"/>
          <w:lang w:val="en-US"/>
        </w:rPr>
        <w:lastRenderedPageBreak/>
        <w:t>which</w:t>
      </w:r>
      <w:proofErr w:type="gramEnd"/>
      <w:r w:rsidR="001F1294">
        <w:rPr>
          <w:sz w:val="24"/>
          <w:szCs w:val="24"/>
          <w:lang w:val="en-US"/>
        </w:rPr>
        <w:t xml:space="preserve"> has not moved forward—would restrict veil piercing to cases of fraud, but only with respect to “high-risk investors” as defined in the proposed statute.</w:t>
      </w:r>
      <w:r w:rsidR="00C956E1">
        <w:rPr>
          <w:rStyle w:val="Refdenotaderodap"/>
          <w:sz w:val="24"/>
          <w:szCs w:val="24"/>
          <w:lang w:val="en-US"/>
        </w:rPr>
        <w:footnoteReference w:id="149"/>
      </w:r>
      <w:r w:rsidR="001F1294">
        <w:rPr>
          <w:sz w:val="24"/>
          <w:szCs w:val="24"/>
          <w:lang w:val="en-US"/>
        </w:rPr>
        <w:t xml:space="preserve"> </w:t>
      </w:r>
    </w:p>
    <w:p w:rsidR="003257A8" w:rsidRPr="003257A8" w:rsidRDefault="001C3DB9" w:rsidP="001F1294">
      <w:pPr>
        <w:ind w:firstLine="708"/>
        <w:jc w:val="both"/>
        <w:rPr>
          <w:sz w:val="24"/>
          <w:szCs w:val="24"/>
          <w:lang w:val="en-US"/>
        </w:rPr>
      </w:pPr>
      <w:r>
        <w:rPr>
          <w:sz w:val="24"/>
          <w:szCs w:val="24"/>
          <w:lang w:val="en-US"/>
        </w:rPr>
        <w:t>In addition</w:t>
      </w:r>
      <w:r w:rsidR="001F1294">
        <w:rPr>
          <w:sz w:val="24"/>
          <w:szCs w:val="24"/>
          <w:lang w:val="en-US"/>
        </w:rPr>
        <w:t xml:space="preserve">, following lobbying efforts by business </w:t>
      </w:r>
      <w:r>
        <w:rPr>
          <w:sz w:val="24"/>
          <w:szCs w:val="24"/>
          <w:lang w:val="en-US"/>
        </w:rPr>
        <w:t>associations, combined with concerns about due process</w:t>
      </w:r>
      <w:r w:rsidR="001F1294">
        <w:rPr>
          <w:sz w:val="24"/>
          <w:szCs w:val="24"/>
          <w:lang w:val="en-US"/>
        </w:rPr>
        <w:t xml:space="preserve">, Brazil’s new Code of Civil Procedure of 2015 </w:t>
      </w:r>
      <w:r w:rsidR="00784131">
        <w:rPr>
          <w:sz w:val="24"/>
          <w:szCs w:val="24"/>
          <w:lang w:val="en-US"/>
        </w:rPr>
        <w:t>c</w:t>
      </w:r>
      <w:r w:rsidR="007B2D57">
        <w:rPr>
          <w:sz w:val="24"/>
          <w:szCs w:val="24"/>
          <w:lang w:val="en-US"/>
        </w:rPr>
        <w:t>reates procedural safeguards for the operation of veil piercing. The statute now explicitly conditions</w:t>
      </w:r>
      <w:r w:rsidR="00784131">
        <w:rPr>
          <w:sz w:val="24"/>
          <w:szCs w:val="24"/>
          <w:lang w:val="en-US"/>
        </w:rPr>
        <w:t xml:space="preserve"> veil piercing on</w:t>
      </w:r>
      <w:r w:rsidR="001F1294">
        <w:rPr>
          <w:sz w:val="24"/>
          <w:szCs w:val="24"/>
          <w:lang w:val="en-US"/>
        </w:rPr>
        <w:t xml:space="preserve"> either the inclusion of such request in the complaint and the naming of shareholders or managers as defendants, or the </w:t>
      </w:r>
      <w:r w:rsidR="003257A8">
        <w:rPr>
          <w:sz w:val="24"/>
          <w:szCs w:val="24"/>
          <w:lang w:val="en-US"/>
        </w:rPr>
        <w:t>petition by a party or the</w:t>
      </w:r>
      <w:r w:rsidR="00C7599A">
        <w:rPr>
          <w:sz w:val="24"/>
          <w:szCs w:val="24"/>
          <w:lang w:val="en-US"/>
        </w:rPr>
        <w:t xml:space="preserve"> Public Prose</w:t>
      </w:r>
      <w:r w:rsidR="00EA239D">
        <w:rPr>
          <w:sz w:val="24"/>
          <w:szCs w:val="24"/>
          <w:lang w:val="en-US"/>
        </w:rPr>
        <w:t>cutor’s Office</w:t>
      </w:r>
      <w:r>
        <w:rPr>
          <w:sz w:val="24"/>
          <w:szCs w:val="24"/>
          <w:lang w:val="en-US"/>
        </w:rPr>
        <w:t xml:space="preserve"> </w:t>
      </w:r>
      <w:r w:rsidR="00C7599A">
        <w:rPr>
          <w:sz w:val="24"/>
          <w:szCs w:val="24"/>
          <w:lang w:val="en-US"/>
        </w:rPr>
        <w:t>(</w:t>
      </w:r>
      <w:proofErr w:type="spellStart"/>
      <w:r w:rsidR="003257A8">
        <w:rPr>
          <w:i/>
          <w:sz w:val="24"/>
          <w:szCs w:val="24"/>
          <w:lang w:val="en-US"/>
        </w:rPr>
        <w:t>Ministério</w:t>
      </w:r>
      <w:proofErr w:type="spellEnd"/>
      <w:r w:rsidR="003257A8">
        <w:rPr>
          <w:i/>
          <w:sz w:val="24"/>
          <w:szCs w:val="24"/>
          <w:lang w:val="en-US"/>
        </w:rPr>
        <w:t xml:space="preserve"> </w:t>
      </w:r>
      <w:proofErr w:type="spellStart"/>
      <w:r w:rsidR="003257A8">
        <w:rPr>
          <w:i/>
          <w:sz w:val="24"/>
          <w:szCs w:val="24"/>
          <w:lang w:val="en-US"/>
        </w:rPr>
        <w:t>Público</w:t>
      </w:r>
      <w:proofErr w:type="spellEnd"/>
      <w:r w:rsidR="00C7599A">
        <w:rPr>
          <w:sz w:val="24"/>
          <w:szCs w:val="24"/>
          <w:lang w:val="en-US"/>
        </w:rPr>
        <w:t>)</w:t>
      </w:r>
      <w:r w:rsidR="003257A8">
        <w:rPr>
          <w:i/>
          <w:sz w:val="24"/>
          <w:szCs w:val="24"/>
          <w:lang w:val="en-US"/>
        </w:rPr>
        <w:t xml:space="preserve"> </w:t>
      </w:r>
      <w:r w:rsidR="003257A8">
        <w:rPr>
          <w:sz w:val="24"/>
          <w:szCs w:val="24"/>
          <w:lang w:val="en-US"/>
        </w:rPr>
        <w:t>to open an incidental procedure to that effect</w:t>
      </w:r>
      <w:r w:rsidR="007B2D57">
        <w:rPr>
          <w:sz w:val="24"/>
          <w:szCs w:val="24"/>
          <w:lang w:val="en-US"/>
        </w:rPr>
        <w:t xml:space="preserve"> at any time during the judicial proceeding</w:t>
      </w:r>
      <w:r w:rsidR="003257A8">
        <w:rPr>
          <w:sz w:val="24"/>
          <w:szCs w:val="24"/>
          <w:lang w:val="en-US"/>
        </w:rPr>
        <w:t>.</w:t>
      </w:r>
      <w:r w:rsidR="003257A8">
        <w:rPr>
          <w:rStyle w:val="Refdenotaderodap"/>
          <w:sz w:val="24"/>
          <w:szCs w:val="24"/>
          <w:lang w:val="en-US"/>
        </w:rPr>
        <w:footnoteReference w:id="150"/>
      </w:r>
      <w:r w:rsidR="003257A8">
        <w:rPr>
          <w:sz w:val="24"/>
          <w:szCs w:val="24"/>
          <w:lang w:val="en-US"/>
        </w:rPr>
        <w:t xml:space="preserve"> This unusual provision reacts </w:t>
      </w:r>
      <w:r>
        <w:rPr>
          <w:sz w:val="24"/>
          <w:szCs w:val="24"/>
          <w:lang w:val="en-US"/>
        </w:rPr>
        <w:t xml:space="preserve">to </w:t>
      </w:r>
      <w:r w:rsidR="003257A8">
        <w:rPr>
          <w:sz w:val="24"/>
          <w:szCs w:val="24"/>
          <w:lang w:val="en-US"/>
        </w:rPr>
        <w:t>previously prevailing judicial practice of seeking to redirect the execution</w:t>
      </w:r>
      <w:r>
        <w:rPr>
          <w:sz w:val="24"/>
          <w:szCs w:val="24"/>
          <w:lang w:val="en-US"/>
        </w:rPr>
        <w:t xml:space="preserve"> of the amounts due</w:t>
      </w:r>
      <w:r w:rsidR="003257A8">
        <w:rPr>
          <w:sz w:val="24"/>
          <w:szCs w:val="24"/>
          <w:lang w:val="en-US"/>
        </w:rPr>
        <w:t xml:space="preserve"> against shareholders</w:t>
      </w:r>
      <w:r w:rsidR="006C2F8A">
        <w:rPr>
          <w:sz w:val="24"/>
          <w:szCs w:val="24"/>
          <w:lang w:val="en-US"/>
        </w:rPr>
        <w:t xml:space="preserve"> or managers</w:t>
      </w:r>
      <w:r w:rsidR="003257A8">
        <w:rPr>
          <w:sz w:val="24"/>
          <w:szCs w:val="24"/>
          <w:lang w:val="en-US"/>
        </w:rPr>
        <w:t xml:space="preserve">, without their previous participation as defendants in the lawsuit. </w:t>
      </w:r>
      <w:r w:rsidR="000E7DC6">
        <w:rPr>
          <w:sz w:val="24"/>
          <w:szCs w:val="24"/>
          <w:lang w:val="en-US"/>
        </w:rPr>
        <w:t>However, the substantive law on veil piercing remains unaltered.</w:t>
      </w:r>
    </w:p>
    <w:p w:rsidR="00A56C80" w:rsidRDefault="00A56C80" w:rsidP="00BE0260">
      <w:pPr>
        <w:keepNext/>
        <w:jc w:val="both"/>
        <w:rPr>
          <w:sz w:val="24"/>
          <w:szCs w:val="24"/>
          <w:lang w:val="en-US"/>
        </w:rPr>
      </w:pPr>
      <w:r>
        <w:rPr>
          <w:sz w:val="24"/>
          <w:szCs w:val="24"/>
          <w:lang w:val="en-US"/>
        </w:rPr>
        <w:t xml:space="preserve">C. </w:t>
      </w:r>
      <w:r>
        <w:rPr>
          <w:sz w:val="24"/>
          <w:szCs w:val="24"/>
          <w:lang w:val="en-US"/>
        </w:rPr>
        <w:tab/>
        <w:t xml:space="preserve">Delegated </w:t>
      </w:r>
      <w:r w:rsidR="00C62D88">
        <w:rPr>
          <w:sz w:val="24"/>
          <w:szCs w:val="24"/>
          <w:lang w:val="en-US"/>
        </w:rPr>
        <w:t>m</w:t>
      </w:r>
      <w:r>
        <w:rPr>
          <w:sz w:val="24"/>
          <w:szCs w:val="24"/>
          <w:lang w:val="en-US"/>
        </w:rPr>
        <w:t>anagement</w:t>
      </w:r>
      <w:r w:rsidR="00C62D88">
        <w:rPr>
          <w:sz w:val="24"/>
          <w:szCs w:val="24"/>
          <w:lang w:val="en-US"/>
        </w:rPr>
        <w:t xml:space="preserve"> under a board structure</w:t>
      </w:r>
    </w:p>
    <w:p w:rsidR="00A56C80" w:rsidRDefault="00A56C80" w:rsidP="00260800">
      <w:pPr>
        <w:jc w:val="both"/>
        <w:rPr>
          <w:sz w:val="24"/>
          <w:szCs w:val="24"/>
          <w:lang w:val="en-US"/>
        </w:rPr>
      </w:pPr>
      <w:r>
        <w:rPr>
          <w:sz w:val="24"/>
          <w:szCs w:val="24"/>
          <w:lang w:val="en-US"/>
        </w:rPr>
        <w:tab/>
        <w:t xml:space="preserve">Another core attribute of the corporate form is the </w:t>
      </w:r>
      <w:r w:rsidR="00173DAA">
        <w:rPr>
          <w:sz w:val="24"/>
          <w:szCs w:val="24"/>
          <w:lang w:val="en-US"/>
        </w:rPr>
        <w:t>existence</w:t>
      </w:r>
      <w:r>
        <w:rPr>
          <w:sz w:val="24"/>
          <w:szCs w:val="24"/>
          <w:lang w:val="en-US"/>
        </w:rPr>
        <w:t xml:space="preserve"> of delegated management under a board structure. On a basic level, this element </w:t>
      </w:r>
      <w:r w:rsidR="006F77BA">
        <w:rPr>
          <w:sz w:val="24"/>
          <w:szCs w:val="24"/>
          <w:lang w:val="en-US"/>
        </w:rPr>
        <w:t>is also present under Brazilian corporate law</w:t>
      </w:r>
      <w:r>
        <w:rPr>
          <w:sz w:val="24"/>
          <w:szCs w:val="24"/>
          <w:lang w:val="en-US"/>
        </w:rPr>
        <w:t xml:space="preserve">. Shareholders </w:t>
      </w:r>
      <w:r w:rsidR="00FD1686">
        <w:rPr>
          <w:sz w:val="24"/>
          <w:szCs w:val="24"/>
          <w:lang w:val="en-US"/>
        </w:rPr>
        <w:t>are not agents of the firm</w:t>
      </w:r>
      <w:r>
        <w:rPr>
          <w:sz w:val="24"/>
          <w:szCs w:val="24"/>
          <w:lang w:val="en-US"/>
        </w:rPr>
        <w:t xml:space="preserve"> and cannot bind it in contract. This is a prerogative of corporate officers (</w:t>
      </w:r>
      <w:proofErr w:type="spellStart"/>
      <w:r>
        <w:rPr>
          <w:i/>
          <w:sz w:val="24"/>
          <w:szCs w:val="24"/>
          <w:lang w:val="en-US"/>
        </w:rPr>
        <w:t>diretores</w:t>
      </w:r>
      <w:proofErr w:type="spellEnd"/>
      <w:r>
        <w:rPr>
          <w:sz w:val="24"/>
          <w:szCs w:val="24"/>
          <w:lang w:val="en-US"/>
        </w:rPr>
        <w:t xml:space="preserve">)—duly elected by shareholders or by the board of directors, as the case may be—or agents of corporate officers acting within the scope of the </w:t>
      </w:r>
      <w:r w:rsidR="00FD1686">
        <w:rPr>
          <w:sz w:val="24"/>
          <w:szCs w:val="24"/>
          <w:lang w:val="en-US"/>
        </w:rPr>
        <w:t>power of attorney</w:t>
      </w:r>
      <w:r>
        <w:rPr>
          <w:sz w:val="24"/>
          <w:szCs w:val="24"/>
          <w:lang w:val="en-US"/>
        </w:rPr>
        <w:t>.</w:t>
      </w:r>
      <w:r>
        <w:rPr>
          <w:rStyle w:val="Refdenotaderodap"/>
          <w:sz w:val="24"/>
          <w:szCs w:val="24"/>
          <w:lang w:val="en-US"/>
        </w:rPr>
        <w:footnoteReference w:id="151"/>
      </w:r>
      <w:r>
        <w:rPr>
          <w:sz w:val="24"/>
          <w:szCs w:val="24"/>
          <w:lang w:val="en-US"/>
        </w:rPr>
        <w:t xml:space="preserve"> </w:t>
      </w:r>
    </w:p>
    <w:p w:rsidR="00A56C80" w:rsidRDefault="00A56C80" w:rsidP="00260800">
      <w:pPr>
        <w:jc w:val="both"/>
        <w:rPr>
          <w:sz w:val="24"/>
          <w:szCs w:val="24"/>
          <w:lang w:val="en-US"/>
        </w:rPr>
      </w:pPr>
      <w:r>
        <w:rPr>
          <w:sz w:val="24"/>
          <w:szCs w:val="24"/>
          <w:lang w:val="en-US"/>
        </w:rPr>
        <w:tab/>
      </w:r>
      <w:r w:rsidR="001C3DB9">
        <w:rPr>
          <w:sz w:val="24"/>
          <w:szCs w:val="24"/>
          <w:lang w:val="en-US"/>
        </w:rPr>
        <w:t>Various</w:t>
      </w:r>
      <w:r>
        <w:rPr>
          <w:sz w:val="24"/>
          <w:szCs w:val="24"/>
          <w:lang w:val="en-US"/>
        </w:rPr>
        <w:t xml:space="preserve"> aspects of corporate law and practice, however, </w:t>
      </w:r>
      <w:r w:rsidR="001C3DB9">
        <w:rPr>
          <w:sz w:val="24"/>
          <w:szCs w:val="24"/>
          <w:lang w:val="en-US"/>
        </w:rPr>
        <w:t xml:space="preserve">greatly </w:t>
      </w:r>
      <w:r>
        <w:rPr>
          <w:sz w:val="24"/>
          <w:szCs w:val="24"/>
          <w:lang w:val="en-US"/>
        </w:rPr>
        <w:t>mitigate the strength of delegated management. First, highly concentrated ownership in the hands of a single controlling shareholder or group of shareholders</w:t>
      </w:r>
      <w:r w:rsidR="00683400">
        <w:rPr>
          <w:sz w:val="24"/>
          <w:szCs w:val="24"/>
          <w:lang w:val="en-US"/>
        </w:rPr>
        <w:t xml:space="preserve"> is typical </w:t>
      </w:r>
      <w:r w:rsidR="0084367C">
        <w:rPr>
          <w:sz w:val="24"/>
          <w:szCs w:val="24"/>
          <w:lang w:val="en-US"/>
        </w:rPr>
        <w:t>of</w:t>
      </w:r>
      <w:r w:rsidR="00683400">
        <w:rPr>
          <w:sz w:val="24"/>
          <w:szCs w:val="24"/>
          <w:lang w:val="en-US"/>
        </w:rPr>
        <w:t xml:space="preserve"> </w:t>
      </w:r>
      <w:bookmarkStart w:id="28" w:name="_Ref452970899"/>
      <w:r w:rsidR="00173DAA">
        <w:rPr>
          <w:sz w:val="24"/>
          <w:szCs w:val="24"/>
          <w:lang w:val="en-US"/>
        </w:rPr>
        <w:t>Brazil’s capital markets</w:t>
      </w:r>
      <w:r w:rsidR="006F4269">
        <w:rPr>
          <w:sz w:val="24"/>
          <w:szCs w:val="24"/>
          <w:lang w:val="en-US"/>
        </w:rPr>
        <w:t>.</w:t>
      </w:r>
      <w:r w:rsidR="0001646D">
        <w:rPr>
          <w:rStyle w:val="Refdenotaderodap"/>
          <w:sz w:val="24"/>
          <w:szCs w:val="24"/>
          <w:lang w:val="en-US"/>
        </w:rPr>
        <w:footnoteReference w:id="152"/>
      </w:r>
      <w:bookmarkEnd w:id="28"/>
      <w:r w:rsidR="0036142E">
        <w:rPr>
          <w:sz w:val="24"/>
          <w:szCs w:val="24"/>
          <w:lang w:val="en-US"/>
        </w:rPr>
        <w:t xml:space="preserve"> Even though the level of ownership concentration has decreased in Brazil in the last decade, dispersed ownership remains exceedingly rare.</w:t>
      </w:r>
      <w:r w:rsidR="0036142E">
        <w:rPr>
          <w:rStyle w:val="Refdenotaderodap"/>
          <w:sz w:val="24"/>
          <w:szCs w:val="24"/>
          <w:lang w:val="en-US"/>
        </w:rPr>
        <w:footnoteReference w:id="153"/>
      </w:r>
      <w:r w:rsidR="0084367C">
        <w:rPr>
          <w:sz w:val="24"/>
          <w:szCs w:val="24"/>
          <w:lang w:val="en-US"/>
        </w:rPr>
        <w:t xml:space="preserve"> </w:t>
      </w:r>
      <w:r w:rsidR="004C6027">
        <w:rPr>
          <w:sz w:val="24"/>
          <w:szCs w:val="24"/>
          <w:lang w:val="en-US"/>
        </w:rPr>
        <w:t>Whereas</w:t>
      </w:r>
      <w:r>
        <w:rPr>
          <w:sz w:val="24"/>
          <w:szCs w:val="24"/>
          <w:lang w:val="en-US"/>
        </w:rPr>
        <w:t xml:space="preserve"> the presence of controlling shareholders </w:t>
      </w:r>
      <w:r w:rsidR="00A165B2">
        <w:rPr>
          <w:sz w:val="24"/>
          <w:szCs w:val="24"/>
          <w:lang w:val="en-US"/>
        </w:rPr>
        <w:t>tends to reduce managerial delegation</w:t>
      </w:r>
      <w:r>
        <w:rPr>
          <w:sz w:val="24"/>
          <w:szCs w:val="24"/>
          <w:lang w:val="en-US"/>
        </w:rPr>
        <w:t xml:space="preserve">—since managers and shareholders are more likely to coincide—there is nothing so far that makes </w:t>
      </w:r>
      <w:r w:rsidR="0084367C">
        <w:rPr>
          <w:sz w:val="24"/>
          <w:szCs w:val="24"/>
          <w:lang w:val="en-US"/>
        </w:rPr>
        <w:t>the Brazilian case exceptional.</w:t>
      </w:r>
      <w:r w:rsidR="007266CF">
        <w:rPr>
          <w:sz w:val="24"/>
          <w:szCs w:val="24"/>
          <w:lang w:val="en-US"/>
        </w:rPr>
        <w:t xml:space="preserve"> Concentrated ownership is the prevailing </w:t>
      </w:r>
      <w:r w:rsidR="001D0436">
        <w:rPr>
          <w:sz w:val="24"/>
          <w:szCs w:val="24"/>
          <w:lang w:val="en-US"/>
        </w:rPr>
        <w:t>ownership structure</w:t>
      </w:r>
      <w:r w:rsidR="007266CF">
        <w:rPr>
          <w:sz w:val="24"/>
          <w:szCs w:val="24"/>
          <w:lang w:val="en-US"/>
        </w:rPr>
        <w:t xml:space="preserve"> around the world, </w:t>
      </w:r>
      <w:r w:rsidR="008C0F33">
        <w:rPr>
          <w:sz w:val="24"/>
          <w:szCs w:val="24"/>
          <w:lang w:val="en-US"/>
        </w:rPr>
        <w:t xml:space="preserve">and </w:t>
      </w:r>
      <w:r w:rsidR="0087053D">
        <w:rPr>
          <w:sz w:val="24"/>
          <w:szCs w:val="24"/>
          <w:lang w:val="en-US"/>
        </w:rPr>
        <w:t>is</w:t>
      </w:r>
      <w:r w:rsidR="008C0F33">
        <w:rPr>
          <w:sz w:val="24"/>
          <w:szCs w:val="24"/>
          <w:lang w:val="en-US"/>
        </w:rPr>
        <w:t xml:space="preserve"> particularly pervasive</w:t>
      </w:r>
      <w:r w:rsidR="0087053D">
        <w:rPr>
          <w:sz w:val="24"/>
          <w:szCs w:val="24"/>
          <w:lang w:val="en-US"/>
        </w:rPr>
        <w:t xml:space="preserve"> in</w:t>
      </w:r>
      <w:r w:rsidR="007266CF">
        <w:rPr>
          <w:sz w:val="24"/>
          <w:szCs w:val="24"/>
          <w:lang w:val="en-US"/>
        </w:rPr>
        <w:t xml:space="preserve"> emerging markets.</w:t>
      </w:r>
      <w:bookmarkStart w:id="29" w:name="_Ref452990875"/>
      <w:r w:rsidR="007266CF">
        <w:rPr>
          <w:rStyle w:val="Refdenotaderodap"/>
          <w:sz w:val="24"/>
          <w:szCs w:val="24"/>
          <w:lang w:val="en-US"/>
        </w:rPr>
        <w:footnoteReference w:id="154"/>
      </w:r>
      <w:bookmarkEnd w:id="29"/>
    </w:p>
    <w:p w:rsidR="00A56C80" w:rsidRDefault="00A56C80" w:rsidP="00260800">
      <w:pPr>
        <w:jc w:val="both"/>
        <w:rPr>
          <w:sz w:val="24"/>
          <w:szCs w:val="24"/>
          <w:lang w:val="en-US"/>
        </w:rPr>
      </w:pPr>
      <w:r>
        <w:rPr>
          <w:sz w:val="24"/>
          <w:szCs w:val="24"/>
          <w:lang w:val="en-US"/>
        </w:rPr>
        <w:lastRenderedPageBreak/>
        <w:tab/>
        <w:t xml:space="preserve">Further divergences appear by looking at the balance of power between shareholders and managers </w:t>
      </w:r>
      <w:r w:rsidR="004D3B62">
        <w:rPr>
          <w:sz w:val="24"/>
          <w:szCs w:val="24"/>
          <w:lang w:val="en-US"/>
        </w:rPr>
        <w:t>envisioned by</w:t>
      </w:r>
      <w:r>
        <w:rPr>
          <w:sz w:val="24"/>
          <w:szCs w:val="24"/>
          <w:lang w:val="en-US"/>
        </w:rPr>
        <w:t xml:space="preserve"> </w:t>
      </w:r>
      <w:r w:rsidR="00D122DA">
        <w:rPr>
          <w:sz w:val="24"/>
          <w:szCs w:val="24"/>
          <w:lang w:val="en-US"/>
        </w:rPr>
        <w:t xml:space="preserve">Brazil’s </w:t>
      </w:r>
      <w:proofErr w:type="gramStart"/>
      <w:r w:rsidR="00D122DA">
        <w:rPr>
          <w:sz w:val="24"/>
          <w:szCs w:val="24"/>
          <w:lang w:val="en-US"/>
        </w:rPr>
        <w:t>corporations</w:t>
      </w:r>
      <w:proofErr w:type="gramEnd"/>
      <w:r w:rsidR="00D122DA">
        <w:rPr>
          <w:sz w:val="24"/>
          <w:szCs w:val="24"/>
          <w:lang w:val="en-US"/>
        </w:rPr>
        <w:t xml:space="preserve"> law</w:t>
      </w:r>
      <w:r>
        <w:rPr>
          <w:sz w:val="24"/>
          <w:szCs w:val="24"/>
          <w:lang w:val="en-US"/>
        </w:rPr>
        <w:t xml:space="preserve">. </w:t>
      </w:r>
      <w:r w:rsidR="005109BE">
        <w:rPr>
          <w:sz w:val="24"/>
          <w:szCs w:val="24"/>
          <w:lang w:val="en-US"/>
        </w:rPr>
        <w:t>T</w:t>
      </w:r>
      <w:r>
        <w:rPr>
          <w:sz w:val="24"/>
          <w:szCs w:val="24"/>
          <w:lang w:val="en-US"/>
        </w:rPr>
        <w:t>here is well-established variation among different jurisdictions</w:t>
      </w:r>
      <w:r w:rsidR="005109BE">
        <w:rPr>
          <w:sz w:val="24"/>
          <w:szCs w:val="24"/>
          <w:lang w:val="en-US"/>
        </w:rPr>
        <w:t xml:space="preserve"> </w:t>
      </w:r>
      <w:r w:rsidR="00854DC6">
        <w:rPr>
          <w:sz w:val="24"/>
          <w:szCs w:val="24"/>
          <w:lang w:val="en-US"/>
        </w:rPr>
        <w:t>in this area</w:t>
      </w:r>
      <w:r>
        <w:rPr>
          <w:sz w:val="24"/>
          <w:szCs w:val="24"/>
          <w:lang w:val="en-US"/>
        </w:rPr>
        <w:t xml:space="preserve">, with </w:t>
      </w:r>
      <w:r w:rsidR="00C81C74">
        <w:rPr>
          <w:sz w:val="24"/>
          <w:szCs w:val="24"/>
          <w:lang w:val="en-US"/>
        </w:rPr>
        <w:t>European jurisdictions generally</w:t>
      </w:r>
      <w:r w:rsidR="00D122DA">
        <w:rPr>
          <w:sz w:val="24"/>
          <w:szCs w:val="24"/>
          <w:lang w:val="en-US"/>
        </w:rPr>
        <w:t xml:space="preserve"> conferring</w:t>
      </w:r>
      <w:r>
        <w:rPr>
          <w:sz w:val="24"/>
          <w:szCs w:val="24"/>
          <w:lang w:val="en-US"/>
        </w:rPr>
        <w:t xml:space="preserve"> far greater rights </w:t>
      </w:r>
      <w:r w:rsidR="00D122DA">
        <w:rPr>
          <w:sz w:val="24"/>
          <w:szCs w:val="24"/>
          <w:lang w:val="en-US"/>
        </w:rPr>
        <w:t>on</w:t>
      </w:r>
      <w:r>
        <w:rPr>
          <w:sz w:val="24"/>
          <w:szCs w:val="24"/>
          <w:lang w:val="en-US"/>
        </w:rPr>
        <w:t xml:space="preserve"> shareholders than board-centric U.S.</w:t>
      </w:r>
      <w:r w:rsidR="00B6230C">
        <w:rPr>
          <w:sz w:val="24"/>
          <w:szCs w:val="24"/>
          <w:lang w:val="en-US"/>
        </w:rPr>
        <w:t xml:space="preserve"> law.</w:t>
      </w:r>
      <w:r>
        <w:rPr>
          <w:rStyle w:val="Refdenotaderodap"/>
          <w:sz w:val="24"/>
          <w:szCs w:val="24"/>
          <w:lang w:val="en-US"/>
        </w:rPr>
        <w:footnoteReference w:id="155"/>
      </w:r>
      <w:r>
        <w:rPr>
          <w:sz w:val="24"/>
          <w:szCs w:val="24"/>
          <w:lang w:val="en-US"/>
        </w:rPr>
        <w:t xml:space="preserve"> </w:t>
      </w:r>
      <w:r w:rsidR="006F2FDA">
        <w:rPr>
          <w:sz w:val="24"/>
          <w:szCs w:val="24"/>
          <w:lang w:val="en-US"/>
        </w:rPr>
        <w:t xml:space="preserve">The difference here is one of degree, with </w:t>
      </w:r>
      <w:r>
        <w:rPr>
          <w:sz w:val="24"/>
          <w:szCs w:val="24"/>
          <w:lang w:val="en-US"/>
        </w:rPr>
        <w:t>Brazilian corporate law</w:t>
      </w:r>
      <w:r w:rsidR="006F2FDA">
        <w:rPr>
          <w:sz w:val="24"/>
          <w:szCs w:val="24"/>
          <w:lang w:val="en-US"/>
        </w:rPr>
        <w:t xml:space="preserve"> being far</w:t>
      </w:r>
      <w:r>
        <w:rPr>
          <w:sz w:val="24"/>
          <w:szCs w:val="24"/>
          <w:lang w:val="en-US"/>
        </w:rPr>
        <w:t xml:space="preserve"> more shareholder-centric than these famously shareholder-</w:t>
      </w:r>
      <w:r w:rsidR="002859F3">
        <w:rPr>
          <w:sz w:val="24"/>
          <w:szCs w:val="24"/>
          <w:lang w:val="en-US"/>
        </w:rPr>
        <w:t xml:space="preserve">friendly </w:t>
      </w:r>
      <w:r>
        <w:rPr>
          <w:sz w:val="24"/>
          <w:szCs w:val="24"/>
          <w:lang w:val="en-US"/>
        </w:rPr>
        <w:t>jurisdictions.</w:t>
      </w:r>
    </w:p>
    <w:p w:rsidR="00B53B7F" w:rsidRDefault="00A56C80" w:rsidP="00B53B7F">
      <w:pPr>
        <w:jc w:val="both"/>
        <w:rPr>
          <w:sz w:val="24"/>
          <w:szCs w:val="24"/>
          <w:lang w:val="en-US"/>
        </w:rPr>
      </w:pPr>
      <w:r>
        <w:rPr>
          <w:sz w:val="24"/>
          <w:szCs w:val="24"/>
          <w:lang w:val="en-US"/>
        </w:rPr>
        <w:tab/>
        <w:t xml:space="preserve">For starters, the </w:t>
      </w:r>
      <w:r w:rsidR="00D179AF">
        <w:rPr>
          <w:sz w:val="24"/>
          <w:szCs w:val="24"/>
          <w:lang w:val="en-US"/>
        </w:rPr>
        <w:t>LSA</w:t>
      </w:r>
      <w:r>
        <w:rPr>
          <w:sz w:val="24"/>
          <w:szCs w:val="24"/>
          <w:lang w:val="en-US"/>
        </w:rPr>
        <w:t xml:space="preserve"> strikingly permits shareholders to adjudicat</w:t>
      </w:r>
      <w:r w:rsidR="004D774F">
        <w:rPr>
          <w:sz w:val="24"/>
          <w:szCs w:val="24"/>
          <w:lang w:val="en-US"/>
        </w:rPr>
        <w:t xml:space="preserve">e </w:t>
      </w:r>
      <w:r w:rsidR="00467A65">
        <w:rPr>
          <w:sz w:val="24"/>
          <w:szCs w:val="24"/>
          <w:lang w:val="en-US"/>
        </w:rPr>
        <w:t>the vast majority of</w:t>
      </w:r>
      <w:r w:rsidR="00D122DA">
        <w:rPr>
          <w:sz w:val="24"/>
          <w:szCs w:val="24"/>
          <w:lang w:val="en-US"/>
        </w:rPr>
        <w:t xml:space="preserve"> corporate decisions</w:t>
      </w:r>
      <w:r w:rsidR="00B53B7F">
        <w:rPr>
          <w:sz w:val="24"/>
          <w:szCs w:val="24"/>
          <w:lang w:val="en-US"/>
        </w:rPr>
        <w:t xml:space="preserve"> beyond the very few matters that fall within the exclusive powers of the board</w:t>
      </w:r>
      <w:r w:rsidR="004D774F">
        <w:rPr>
          <w:sz w:val="24"/>
          <w:szCs w:val="24"/>
          <w:lang w:val="en-US"/>
        </w:rPr>
        <w:t>.</w:t>
      </w:r>
      <w:r w:rsidR="00B53B7F">
        <w:rPr>
          <w:rStyle w:val="Refdenotaderodap"/>
          <w:sz w:val="24"/>
          <w:szCs w:val="24"/>
          <w:lang w:val="en-US"/>
        </w:rPr>
        <w:footnoteReference w:id="156"/>
      </w:r>
      <w:r w:rsidR="004D774F">
        <w:rPr>
          <w:sz w:val="24"/>
          <w:szCs w:val="24"/>
          <w:lang w:val="en-US"/>
        </w:rPr>
        <w:t xml:space="preserve"> Art. 121 </w:t>
      </w:r>
      <w:r w:rsidR="00264D0A">
        <w:rPr>
          <w:sz w:val="24"/>
          <w:szCs w:val="24"/>
          <w:lang w:val="en-US"/>
        </w:rPr>
        <w:t xml:space="preserve">provides that the </w:t>
      </w:r>
      <w:r w:rsidR="004D774F">
        <w:rPr>
          <w:sz w:val="24"/>
          <w:szCs w:val="24"/>
          <w:lang w:val="en-US"/>
        </w:rPr>
        <w:t xml:space="preserve">“[t]he shareholder assembly, called and installed in according to the law and the charter, has powers to decide </w:t>
      </w:r>
      <w:r w:rsidR="004D774F">
        <w:rPr>
          <w:i/>
          <w:sz w:val="24"/>
          <w:szCs w:val="24"/>
          <w:lang w:val="en-US"/>
        </w:rPr>
        <w:t>all matters relating to the purpose of the company and make the resolutions that it deems convenient for its defense and development</w:t>
      </w:r>
      <w:r w:rsidR="004D774F">
        <w:rPr>
          <w:sz w:val="24"/>
          <w:szCs w:val="24"/>
          <w:lang w:val="en-US"/>
        </w:rPr>
        <w:t>.”</w:t>
      </w:r>
      <w:r w:rsidR="00B356EB">
        <w:rPr>
          <w:sz w:val="24"/>
          <w:szCs w:val="24"/>
          <w:lang w:val="en-US"/>
        </w:rPr>
        <w:t xml:space="preserve"> This confers broad powers on shareholders, especially given that the statute grants 5% shareholders the right to call a meeting at any time whenever the board refuses to do so at their request.</w:t>
      </w:r>
      <w:r w:rsidR="00B356EB">
        <w:rPr>
          <w:rStyle w:val="Refdenotaderodap"/>
          <w:sz w:val="24"/>
          <w:szCs w:val="24"/>
          <w:lang w:val="en-US"/>
        </w:rPr>
        <w:footnoteReference w:id="157"/>
      </w:r>
      <w:r w:rsidR="0066540C">
        <w:rPr>
          <w:sz w:val="24"/>
          <w:szCs w:val="24"/>
          <w:lang w:val="en-US"/>
        </w:rPr>
        <w:t xml:space="preserve"> </w:t>
      </w:r>
    </w:p>
    <w:p w:rsidR="00113803" w:rsidRDefault="0055550D" w:rsidP="00FC3366">
      <w:pPr>
        <w:jc w:val="both"/>
        <w:rPr>
          <w:sz w:val="24"/>
          <w:szCs w:val="24"/>
          <w:lang w:val="en-US"/>
        </w:rPr>
      </w:pPr>
      <w:r>
        <w:rPr>
          <w:sz w:val="24"/>
          <w:szCs w:val="24"/>
          <w:lang w:val="en-US"/>
        </w:rPr>
        <w:tab/>
      </w:r>
      <w:r w:rsidR="00F72CF2">
        <w:rPr>
          <w:sz w:val="24"/>
          <w:szCs w:val="24"/>
          <w:lang w:val="en-US"/>
        </w:rPr>
        <w:t xml:space="preserve">The </w:t>
      </w:r>
      <w:r w:rsidR="00D122DA">
        <w:rPr>
          <w:sz w:val="24"/>
          <w:szCs w:val="24"/>
          <w:lang w:val="en-US"/>
        </w:rPr>
        <w:t>LSA</w:t>
      </w:r>
      <w:r>
        <w:rPr>
          <w:sz w:val="24"/>
          <w:szCs w:val="24"/>
          <w:lang w:val="en-US"/>
        </w:rPr>
        <w:t xml:space="preserve"> is unusual not only in </w:t>
      </w:r>
      <w:r w:rsidR="00FD6363">
        <w:rPr>
          <w:sz w:val="24"/>
          <w:szCs w:val="24"/>
          <w:lang w:val="en-US"/>
        </w:rPr>
        <w:t>determining what shareholders</w:t>
      </w:r>
      <w:r>
        <w:rPr>
          <w:sz w:val="24"/>
          <w:szCs w:val="24"/>
          <w:lang w:val="en-US"/>
        </w:rPr>
        <w:t xml:space="preserve"> </w:t>
      </w:r>
      <w:r>
        <w:rPr>
          <w:i/>
          <w:sz w:val="24"/>
          <w:szCs w:val="24"/>
          <w:lang w:val="en-US"/>
        </w:rPr>
        <w:t xml:space="preserve">may </w:t>
      </w:r>
      <w:r>
        <w:rPr>
          <w:sz w:val="24"/>
          <w:szCs w:val="24"/>
          <w:lang w:val="en-US"/>
        </w:rPr>
        <w:t xml:space="preserve">decide, but also what they </w:t>
      </w:r>
      <w:r>
        <w:rPr>
          <w:i/>
          <w:sz w:val="24"/>
          <w:szCs w:val="24"/>
          <w:lang w:val="en-US"/>
        </w:rPr>
        <w:t xml:space="preserve">must </w:t>
      </w:r>
      <w:r>
        <w:rPr>
          <w:sz w:val="24"/>
          <w:szCs w:val="24"/>
          <w:lang w:val="en-US"/>
        </w:rPr>
        <w:t xml:space="preserve">decide. </w:t>
      </w:r>
      <w:r w:rsidR="00FC3366">
        <w:rPr>
          <w:sz w:val="24"/>
          <w:szCs w:val="24"/>
          <w:lang w:val="en-US"/>
        </w:rPr>
        <w:t>As in other legal systems, Brazilian law</w:t>
      </w:r>
      <w:r w:rsidR="00A56C80">
        <w:rPr>
          <w:sz w:val="24"/>
          <w:szCs w:val="24"/>
          <w:lang w:val="en-US"/>
        </w:rPr>
        <w:t xml:space="preserve"> requires shareholder</w:t>
      </w:r>
      <w:r w:rsidR="00FC3366">
        <w:rPr>
          <w:sz w:val="24"/>
          <w:szCs w:val="24"/>
          <w:lang w:val="en-US"/>
        </w:rPr>
        <w:t>s</w:t>
      </w:r>
      <w:r w:rsidR="00A56C80">
        <w:rPr>
          <w:sz w:val="24"/>
          <w:szCs w:val="24"/>
          <w:lang w:val="en-US"/>
        </w:rPr>
        <w:t xml:space="preserve"> to approve certain key corporate decisions. </w:t>
      </w:r>
      <w:r w:rsidR="00D179AF">
        <w:rPr>
          <w:sz w:val="24"/>
          <w:szCs w:val="24"/>
          <w:lang w:val="en-US"/>
        </w:rPr>
        <w:t xml:space="preserve">While Brazil follows other jurisdictions in </w:t>
      </w:r>
      <w:r w:rsidR="00154E7D">
        <w:rPr>
          <w:sz w:val="24"/>
          <w:szCs w:val="24"/>
          <w:lang w:val="en-US"/>
        </w:rPr>
        <w:t>imposing</w:t>
      </w:r>
      <w:r w:rsidR="00BC0195">
        <w:rPr>
          <w:sz w:val="24"/>
          <w:szCs w:val="24"/>
          <w:lang w:val="en-US"/>
        </w:rPr>
        <w:t xml:space="preserve"> </w:t>
      </w:r>
      <w:r w:rsidR="00D179AF">
        <w:rPr>
          <w:sz w:val="24"/>
          <w:szCs w:val="24"/>
          <w:lang w:val="en-US"/>
        </w:rPr>
        <w:t xml:space="preserve">a shareholder vote </w:t>
      </w:r>
      <w:r w:rsidR="00BC0195">
        <w:rPr>
          <w:sz w:val="24"/>
          <w:szCs w:val="24"/>
          <w:lang w:val="en-US"/>
        </w:rPr>
        <w:t xml:space="preserve">with respect to </w:t>
      </w:r>
      <w:r w:rsidR="00D179AF">
        <w:rPr>
          <w:sz w:val="24"/>
          <w:szCs w:val="24"/>
          <w:lang w:val="en-US"/>
        </w:rPr>
        <w:t>charter amendments</w:t>
      </w:r>
      <w:r w:rsidR="005427B7">
        <w:rPr>
          <w:sz w:val="24"/>
          <w:szCs w:val="24"/>
          <w:lang w:val="en-US"/>
        </w:rPr>
        <w:t>, mergers, and dissolution</w:t>
      </w:r>
      <w:r w:rsidR="00D179AF">
        <w:rPr>
          <w:sz w:val="24"/>
          <w:szCs w:val="24"/>
          <w:lang w:val="en-US"/>
        </w:rPr>
        <w:t xml:space="preserve">, it goes beyond international practice by also demanding shareholder approval </w:t>
      </w:r>
      <w:r w:rsidR="00372132">
        <w:rPr>
          <w:sz w:val="24"/>
          <w:szCs w:val="24"/>
          <w:lang w:val="en-US"/>
        </w:rPr>
        <w:t>of</w:t>
      </w:r>
      <w:r w:rsidR="00113803">
        <w:rPr>
          <w:sz w:val="24"/>
          <w:szCs w:val="24"/>
          <w:lang w:val="en-US"/>
        </w:rPr>
        <w:t xml:space="preserve"> spin-offs and </w:t>
      </w:r>
      <w:r w:rsidR="00276CE2">
        <w:rPr>
          <w:sz w:val="24"/>
          <w:szCs w:val="24"/>
          <w:lang w:val="en-US"/>
        </w:rPr>
        <w:t>bankruptcy</w:t>
      </w:r>
      <w:r w:rsidR="00113803">
        <w:rPr>
          <w:sz w:val="24"/>
          <w:szCs w:val="24"/>
          <w:lang w:val="en-US"/>
        </w:rPr>
        <w:t xml:space="preserve"> </w:t>
      </w:r>
      <w:r w:rsidR="00372132">
        <w:rPr>
          <w:sz w:val="24"/>
          <w:szCs w:val="24"/>
          <w:lang w:val="en-US"/>
        </w:rPr>
        <w:t>filings</w:t>
      </w:r>
      <w:r w:rsidR="00F204F4">
        <w:rPr>
          <w:sz w:val="24"/>
          <w:szCs w:val="24"/>
          <w:lang w:val="en-US"/>
        </w:rPr>
        <w:t xml:space="preserve">, as well as bond issuances </w:t>
      </w:r>
      <w:r w:rsidR="00AB78F6">
        <w:rPr>
          <w:sz w:val="24"/>
          <w:szCs w:val="24"/>
          <w:lang w:val="en-US"/>
        </w:rPr>
        <w:t>by</w:t>
      </w:r>
      <w:r w:rsidR="00F204F4">
        <w:rPr>
          <w:sz w:val="24"/>
          <w:szCs w:val="24"/>
          <w:lang w:val="en-US"/>
        </w:rPr>
        <w:t xml:space="preserve"> close corporations</w:t>
      </w:r>
      <w:r w:rsidR="00113803">
        <w:rPr>
          <w:sz w:val="24"/>
          <w:szCs w:val="24"/>
          <w:lang w:val="en-US"/>
        </w:rPr>
        <w:t>.</w:t>
      </w:r>
      <w:r w:rsidR="00D179AF">
        <w:rPr>
          <w:rStyle w:val="Refdenotaderodap"/>
          <w:sz w:val="24"/>
          <w:szCs w:val="24"/>
          <w:lang w:val="en-US"/>
        </w:rPr>
        <w:footnoteReference w:id="158"/>
      </w:r>
      <w:r w:rsidR="00A56C80">
        <w:rPr>
          <w:sz w:val="24"/>
          <w:szCs w:val="24"/>
          <w:lang w:val="en-US"/>
        </w:rPr>
        <w:t xml:space="preserve"> </w:t>
      </w:r>
      <w:r w:rsidR="004D3B62">
        <w:rPr>
          <w:sz w:val="24"/>
          <w:szCs w:val="24"/>
          <w:lang w:val="en-US"/>
        </w:rPr>
        <w:t>In case of</w:t>
      </w:r>
      <w:r w:rsidR="00113803">
        <w:rPr>
          <w:sz w:val="24"/>
          <w:szCs w:val="24"/>
          <w:lang w:val="en-US"/>
        </w:rPr>
        <w:t xml:space="preserve"> urgency, managers must still obtain the </w:t>
      </w:r>
      <w:r w:rsidR="00276CE2">
        <w:rPr>
          <w:sz w:val="24"/>
          <w:szCs w:val="24"/>
          <w:lang w:val="en-US"/>
        </w:rPr>
        <w:t xml:space="preserve">informal </w:t>
      </w:r>
      <w:r w:rsidR="00113803">
        <w:rPr>
          <w:sz w:val="24"/>
          <w:szCs w:val="24"/>
          <w:lang w:val="en-US"/>
        </w:rPr>
        <w:t xml:space="preserve">consent of the controlling shareholder to </w:t>
      </w:r>
      <w:r w:rsidR="00276CE2">
        <w:rPr>
          <w:sz w:val="24"/>
          <w:szCs w:val="24"/>
          <w:lang w:val="en-US"/>
        </w:rPr>
        <w:t>file for bankruptcy, and a shareholder meeting must follow</w:t>
      </w:r>
      <w:r w:rsidR="0003655F">
        <w:rPr>
          <w:sz w:val="24"/>
          <w:szCs w:val="24"/>
          <w:lang w:val="en-US"/>
        </w:rPr>
        <w:t xml:space="preserve"> to ratify the decision</w:t>
      </w:r>
      <w:r w:rsidR="00276CE2">
        <w:rPr>
          <w:sz w:val="24"/>
          <w:szCs w:val="24"/>
          <w:lang w:val="en-US"/>
        </w:rPr>
        <w:t>.</w:t>
      </w:r>
      <w:r w:rsidR="003D22E1">
        <w:rPr>
          <w:rStyle w:val="Refdenotaderodap"/>
          <w:sz w:val="24"/>
          <w:szCs w:val="24"/>
          <w:lang w:val="en-US"/>
        </w:rPr>
        <w:footnoteReference w:id="159"/>
      </w:r>
      <w:r w:rsidR="00276CE2">
        <w:rPr>
          <w:sz w:val="24"/>
          <w:szCs w:val="24"/>
          <w:lang w:val="en-US"/>
        </w:rPr>
        <w:t xml:space="preserve"> W</w:t>
      </w:r>
      <w:r w:rsidR="00511BED">
        <w:rPr>
          <w:sz w:val="24"/>
          <w:szCs w:val="24"/>
          <w:lang w:val="en-US"/>
        </w:rPr>
        <w:t>hile “say on pay” has only recently spread around the world</w:t>
      </w:r>
      <w:r w:rsidR="001E0853">
        <w:rPr>
          <w:sz w:val="24"/>
          <w:szCs w:val="24"/>
          <w:lang w:val="en-US"/>
        </w:rPr>
        <w:t xml:space="preserve"> (and, even so, it is non-binding in most instances)</w:t>
      </w:r>
      <w:r w:rsidR="00511BED">
        <w:rPr>
          <w:sz w:val="24"/>
          <w:szCs w:val="24"/>
          <w:lang w:val="en-US"/>
        </w:rPr>
        <w:t xml:space="preserve">, Brazilian law has since 1976 required shareholders </w:t>
      </w:r>
      <w:r w:rsidR="0078723B">
        <w:rPr>
          <w:sz w:val="24"/>
          <w:szCs w:val="24"/>
          <w:lang w:val="en-US"/>
        </w:rPr>
        <w:t xml:space="preserve">to </w:t>
      </w:r>
      <w:r w:rsidR="00113803">
        <w:rPr>
          <w:sz w:val="24"/>
          <w:szCs w:val="24"/>
          <w:lang w:val="en-US"/>
        </w:rPr>
        <w:t>issue a binding vote on</w:t>
      </w:r>
      <w:r w:rsidR="00E41597">
        <w:rPr>
          <w:sz w:val="24"/>
          <w:szCs w:val="24"/>
          <w:lang w:val="en-US"/>
        </w:rPr>
        <w:t xml:space="preserve"> </w:t>
      </w:r>
      <w:r w:rsidR="00511BED">
        <w:rPr>
          <w:sz w:val="24"/>
          <w:szCs w:val="24"/>
          <w:lang w:val="en-US"/>
        </w:rPr>
        <w:t>executive compensation.</w:t>
      </w:r>
      <w:r w:rsidR="00FD153E">
        <w:rPr>
          <w:rStyle w:val="Refdenotaderodap"/>
          <w:sz w:val="24"/>
          <w:szCs w:val="24"/>
          <w:lang w:val="en-US"/>
        </w:rPr>
        <w:footnoteReference w:id="160"/>
      </w:r>
      <w:r w:rsidR="00511BED">
        <w:rPr>
          <w:sz w:val="24"/>
          <w:szCs w:val="24"/>
          <w:lang w:val="en-US"/>
        </w:rPr>
        <w:t xml:space="preserve"> </w:t>
      </w:r>
      <w:r w:rsidR="00F72CF2">
        <w:rPr>
          <w:sz w:val="24"/>
          <w:szCs w:val="24"/>
          <w:lang w:val="en-US"/>
        </w:rPr>
        <w:t xml:space="preserve"> </w:t>
      </w:r>
    </w:p>
    <w:p w:rsidR="00A56C80" w:rsidRDefault="00A56C80" w:rsidP="00260800">
      <w:pPr>
        <w:jc w:val="both"/>
        <w:rPr>
          <w:sz w:val="24"/>
          <w:szCs w:val="24"/>
          <w:lang w:val="en-US"/>
        </w:rPr>
      </w:pPr>
      <w:r>
        <w:rPr>
          <w:sz w:val="24"/>
          <w:szCs w:val="24"/>
          <w:lang w:val="en-US"/>
        </w:rPr>
        <w:tab/>
      </w:r>
      <w:r w:rsidR="00162BA3">
        <w:rPr>
          <w:sz w:val="24"/>
          <w:szCs w:val="24"/>
          <w:lang w:val="en-US"/>
        </w:rPr>
        <w:t>From the</w:t>
      </w:r>
      <w:r>
        <w:rPr>
          <w:sz w:val="24"/>
          <w:szCs w:val="24"/>
          <w:lang w:val="en-US"/>
        </w:rPr>
        <w:t xml:space="preserve"> </w:t>
      </w:r>
      <w:r w:rsidR="00440CAD">
        <w:rPr>
          <w:sz w:val="24"/>
          <w:szCs w:val="24"/>
          <w:lang w:val="en-US"/>
        </w:rPr>
        <w:t xml:space="preserve">comparative </w:t>
      </w:r>
      <w:r>
        <w:rPr>
          <w:sz w:val="24"/>
          <w:szCs w:val="24"/>
          <w:lang w:val="en-US"/>
        </w:rPr>
        <w:t>hypertrop</w:t>
      </w:r>
      <w:r w:rsidR="00490618">
        <w:rPr>
          <w:sz w:val="24"/>
          <w:szCs w:val="24"/>
          <w:lang w:val="en-US"/>
        </w:rPr>
        <w:t>hy of shareholders’</w:t>
      </w:r>
      <w:r w:rsidR="00D22577">
        <w:rPr>
          <w:sz w:val="24"/>
          <w:szCs w:val="24"/>
          <w:lang w:val="en-US"/>
        </w:rPr>
        <w:t xml:space="preserve"> </w:t>
      </w:r>
      <w:r w:rsidR="00490618">
        <w:rPr>
          <w:sz w:val="24"/>
          <w:szCs w:val="24"/>
          <w:lang w:val="en-US"/>
        </w:rPr>
        <w:t>powers</w:t>
      </w:r>
      <w:r w:rsidR="00F85CC0">
        <w:rPr>
          <w:sz w:val="24"/>
          <w:szCs w:val="24"/>
          <w:lang w:val="en-US"/>
        </w:rPr>
        <w:t xml:space="preserve"> </w:t>
      </w:r>
      <w:r w:rsidR="00D22577">
        <w:rPr>
          <w:sz w:val="24"/>
          <w:szCs w:val="24"/>
          <w:lang w:val="en-US"/>
        </w:rPr>
        <w:t>under B</w:t>
      </w:r>
      <w:r>
        <w:rPr>
          <w:sz w:val="24"/>
          <w:szCs w:val="24"/>
          <w:lang w:val="en-US"/>
        </w:rPr>
        <w:t xml:space="preserve">razil’s </w:t>
      </w:r>
      <w:r w:rsidR="00EE3802">
        <w:rPr>
          <w:sz w:val="24"/>
          <w:szCs w:val="24"/>
          <w:lang w:val="en-US"/>
        </w:rPr>
        <w:t>corporate</w:t>
      </w:r>
      <w:r w:rsidR="00D22577">
        <w:rPr>
          <w:sz w:val="24"/>
          <w:szCs w:val="24"/>
          <w:lang w:val="en-US"/>
        </w:rPr>
        <w:t xml:space="preserve"> l</w:t>
      </w:r>
      <w:r>
        <w:rPr>
          <w:sz w:val="24"/>
          <w:szCs w:val="24"/>
          <w:lang w:val="en-US"/>
        </w:rPr>
        <w:t xml:space="preserve">aw </w:t>
      </w:r>
      <w:r w:rsidR="00162BA3">
        <w:rPr>
          <w:sz w:val="24"/>
          <w:szCs w:val="24"/>
          <w:lang w:val="en-US"/>
        </w:rPr>
        <w:t>follows</w:t>
      </w:r>
      <w:r>
        <w:rPr>
          <w:sz w:val="24"/>
          <w:szCs w:val="24"/>
          <w:lang w:val="en-US"/>
        </w:rPr>
        <w:t xml:space="preserve"> a correspondingly discreet role for the board of directors. </w:t>
      </w:r>
      <w:proofErr w:type="gramStart"/>
      <w:r w:rsidR="00C87CF0">
        <w:rPr>
          <w:sz w:val="24"/>
          <w:szCs w:val="24"/>
          <w:lang w:val="en-US"/>
        </w:rPr>
        <w:t>According to the statute</w:t>
      </w:r>
      <w:r>
        <w:rPr>
          <w:sz w:val="24"/>
          <w:szCs w:val="24"/>
          <w:lang w:val="en-US"/>
        </w:rPr>
        <w:t>, the necessary function</w:t>
      </w:r>
      <w:bookmarkStart w:id="30" w:name="_GoBack"/>
      <w:bookmarkEnd w:id="30"/>
      <w:r>
        <w:rPr>
          <w:sz w:val="24"/>
          <w:szCs w:val="24"/>
          <w:lang w:val="en-US"/>
        </w:rPr>
        <w:t>s of the board of directors are</w:t>
      </w:r>
      <w:r w:rsidR="0008100C">
        <w:rPr>
          <w:sz w:val="24"/>
          <w:szCs w:val="24"/>
          <w:lang w:val="en-US"/>
        </w:rPr>
        <w:t xml:space="preserve"> to</w:t>
      </w:r>
      <w:r>
        <w:rPr>
          <w:sz w:val="24"/>
          <w:szCs w:val="24"/>
          <w:lang w:val="en-US"/>
        </w:rPr>
        <w:t xml:space="preserve"> (</w:t>
      </w:r>
      <w:proofErr w:type="spellStart"/>
      <w:r>
        <w:rPr>
          <w:sz w:val="24"/>
          <w:szCs w:val="24"/>
          <w:lang w:val="en-US"/>
        </w:rPr>
        <w:t>i</w:t>
      </w:r>
      <w:proofErr w:type="spellEnd"/>
      <w:r>
        <w:rPr>
          <w:sz w:val="24"/>
          <w:szCs w:val="24"/>
          <w:lang w:val="en-US"/>
        </w:rPr>
        <w:t>) determine the general orientation of the company’s business, (ii) elect officer</w:t>
      </w:r>
      <w:r w:rsidR="002B7F48">
        <w:rPr>
          <w:sz w:val="24"/>
          <w:szCs w:val="24"/>
          <w:lang w:val="en-US"/>
        </w:rPr>
        <w:t>s</w:t>
      </w:r>
      <w:r>
        <w:rPr>
          <w:sz w:val="24"/>
          <w:szCs w:val="24"/>
          <w:lang w:val="en-US"/>
        </w:rPr>
        <w:t xml:space="preserve"> and monitor their </w:t>
      </w:r>
      <w:r w:rsidR="002B7F48">
        <w:rPr>
          <w:sz w:val="24"/>
          <w:szCs w:val="24"/>
          <w:lang w:val="en-US"/>
        </w:rPr>
        <w:t>performance</w:t>
      </w:r>
      <w:r>
        <w:rPr>
          <w:sz w:val="24"/>
          <w:szCs w:val="24"/>
          <w:lang w:val="en-US"/>
        </w:rPr>
        <w:t>, (iii) call the shareholders’ meeting</w:t>
      </w:r>
      <w:r w:rsidR="002B7F48">
        <w:rPr>
          <w:sz w:val="24"/>
          <w:szCs w:val="24"/>
          <w:lang w:val="en-US"/>
        </w:rPr>
        <w:t xml:space="preserve"> (though 5% shareholders may also call meetings</w:t>
      </w:r>
      <w:r w:rsidR="004D3B62">
        <w:rPr>
          <w:sz w:val="24"/>
          <w:szCs w:val="24"/>
          <w:lang w:val="en-US"/>
        </w:rPr>
        <w:t xml:space="preserve"> if the board refuses to do so</w:t>
      </w:r>
      <w:r w:rsidR="002B7F48">
        <w:rPr>
          <w:sz w:val="24"/>
          <w:szCs w:val="24"/>
          <w:lang w:val="en-US"/>
        </w:rPr>
        <w:t>)</w:t>
      </w:r>
      <w:r>
        <w:rPr>
          <w:sz w:val="24"/>
          <w:szCs w:val="24"/>
          <w:lang w:val="en-US"/>
        </w:rPr>
        <w:t>, (iv) appoint and remove the independent auditors (if applicable)</w:t>
      </w:r>
      <w:r w:rsidR="004D3B62">
        <w:rPr>
          <w:sz w:val="24"/>
          <w:szCs w:val="24"/>
          <w:lang w:val="en-US"/>
        </w:rPr>
        <w:t>,</w:t>
      </w:r>
      <w:r>
        <w:rPr>
          <w:sz w:val="24"/>
          <w:szCs w:val="24"/>
          <w:lang w:val="en-US"/>
        </w:rPr>
        <w:t xml:space="preserve"> and (iv) authorize the sale of non-circulating assets </w:t>
      </w:r>
      <w:r>
        <w:rPr>
          <w:sz w:val="24"/>
          <w:szCs w:val="24"/>
          <w:lang w:val="en-US"/>
        </w:rPr>
        <w:lastRenderedPageBreak/>
        <w:t>and the provision of guarantees.</w:t>
      </w:r>
      <w:bookmarkStart w:id="31" w:name="_Ref455602135"/>
      <w:r w:rsidR="00E41E4B">
        <w:rPr>
          <w:rStyle w:val="Refdenotaderodap"/>
          <w:sz w:val="24"/>
          <w:szCs w:val="24"/>
          <w:lang w:val="en-US"/>
        </w:rPr>
        <w:footnoteReference w:id="161"/>
      </w:r>
      <w:bookmarkEnd w:id="31"/>
      <w:proofErr w:type="gramEnd"/>
      <w:r>
        <w:rPr>
          <w:sz w:val="24"/>
          <w:szCs w:val="24"/>
          <w:lang w:val="en-US"/>
        </w:rPr>
        <w:t xml:space="preserve"> Although this list may seem long</w:t>
      </w:r>
      <w:r w:rsidR="002B7F48">
        <w:rPr>
          <w:sz w:val="24"/>
          <w:szCs w:val="24"/>
          <w:lang w:val="en-US"/>
        </w:rPr>
        <w:t xml:space="preserve">, </w:t>
      </w:r>
      <w:r w:rsidR="00E0100A">
        <w:rPr>
          <w:sz w:val="24"/>
          <w:szCs w:val="24"/>
          <w:lang w:val="en-US"/>
        </w:rPr>
        <w:t>key</w:t>
      </w:r>
      <w:r w:rsidR="002B7F48">
        <w:rPr>
          <w:sz w:val="24"/>
          <w:szCs w:val="24"/>
          <w:lang w:val="en-US"/>
        </w:rPr>
        <w:t xml:space="preserve"> </w:t>
      </w:r>
      <w:r w:rsidR="004D3B62">
        <w:rPr>
          <w:sz w:val="24"/>
          <w:szCs w:val="24"/>
          <w:lang w:val="en-US"/>
        </w:rPr>
        <w:t xml:space="preserve">corporate </w:t>
      </w:r>
      <w:r w:rsidR="002B7F48">
        <w:rPr>
          <w:sz w:val="24"/>
          <w:szCs w:val="24"/>
          <w:lang w:val="en-US"/>
        </w:rPr>
        <w:t>decisions are conspicuously absent. T</w:t>
      </w:r>
      <w:r>
        <w:rPr>
          <w:sz w:val="24"/>
          <w:szCs w:val="24"/>
          <w:lang w:val="en-US"/>
        </w:rPr>
        <w:t>he statute does not technically require the board’s authorization (or even opinio</w:t>
      </w:r>
      <w:r w:rsidR="004D3B62">
        <w:rPr>
          <w:sz w:val="24"/>
          <w:szCs w:val="24"/>
          <w:lang w:val="en-US"/>
        </w:rPr>
        <w:t>n) with respect to fundamental</w:t>
      </w:r>
      <w:r>
        <w:rPr>
          <w:sz w:val="24"/>
          <w:szCs w:val="24"/>
          <w:lang w:val="en-US"/>
        </w:rPr>
        <w:t xml:space="preserve"> </w:t>
      </w:r>
      <w:r w:rsidR="006202CD">
        <w:rPr>
          <w:sz w:val="24"/>
          <w:szCs w:val="24"/>
          <w:lang w:val="en-US"/>
        </w:rPr>
        <w:t>changes</w:t>
      </w:r>
      <w:r>
        <w:rPr>
          <w:sz w:val="24"/>
          <w:szCs w:val="24"/>
          <w:lang w:val="en-US"/>
        </w:rPr>
        <w:t xml:space="preserve">, such as mergers, acquisitions, dissolutions, or charter amendments—all of which </w:t>
      </w:r>
      <w:r w:rsidR="006202CD">
        <w:rPr>
          <w:sz w:val="24"/>
          <w:szCs w:val="24"/>
          <w:lang w:val="en-US"/>
        </w:rPr>
        <w:t xml:space="preserve">shareholders </w:t>
      </w:r>
      <w:r>
        <w:rPr>
          <w:sz w:val="24"/>
          <w:szCs w:val="24"/>
          <w:lang w:val="en-US"/>
        </w:rPr>
        <w:t xml:space="preserve">must necessarily approve. </w:t>
      </w:r>
      <w:r w:rsidR="004D3B62">
        <w:rPr>
          <w:sz w:val="24"/>
          <w:szCs w:val="24"/>
          <w:lang w:val="en-US"/>
        </w:rPr>
        <w:t>Except for charter amendments</w:t>
      </w:r>
      <w:proofErr w:type="gramStart"/>
      <w:r w:rsidR="004D3B62">
        <w:rPr>
          <w:sz w:val="24"/>
          <w:szCs w:val="24"/>
          <w:lang w:val="en-US"/>
        </w:rPr>
        <w:t>—which</w:t>
      </w:r>
      <w:proofErr w:type="gramEnd"/>
      <w:r w:rsidR="004D3B62">
        <w:rPr>
          <w:sz w:val="24"/>
          <w:szCs w:val="24"/>
          <w:lang w:val="en-US"/>
        </w:rPr>
        <w:t xml:space="preserve"> typically require board initiative in the United States, but not in other countries—</w:t>
      </w:r>
      <w:r w:rsidR="006F070F">
        <w:rPr>
          <w:sz w:val="24"/>
          <w:szCs w:val="24"/>
          <w:lang w:val="en-US"/>
        </w:rPr>
        <w:t xml:space="preserve">these </w:t>
      </w:r>
      <w:r w:rsidR="00B3469A">
        <w:rPr>
          <w:sz w:val="24"/>
          <w:szCs w:val="24"/>
          <w:lang w:val="en-US"/>
        </w:rPr>
        <w:t xml:space="preserve">fundamental </w:t>
      </w:r>
      <w:r w:rsidR="006F070F">
        <w:rPr>
          <w:sz w:val="24"/>
          <w:szCs w:val="24"/>
          <w:lang w:val="en-US"/>
        </w:rPr>
        <w:t xml:space="preserve">decisions usually </w:t>
      </w:r>
      <w:r w:rsidR="004D3B62">
        <w:rPr>
          <w:sz w:val="24"/>
          <w:szCs w:val="24"/>
          <w:lang w:val="en-US"/>
        </w:rPr>
        <w:t>necessitate</w:t>
      </w:r>
      <w:r w:rsidR="006F070F">
        <w:rPr>
          <w:sz w:val="24"/>
          <w:szCs w:val="24"/>
          <w:lang w:val="en-US"/>
        </w:rPr>
        <w:t xml:space="preserve"> board action in </w:t>
      </w:r>
      <w:r>
        <w:rPr>
          <w:sz w:val="24"/>
          <w:szCs w:val="24"/>
          <w:lang w:val="en-US"/>
        </w:rPr>
        <w:t>most jurisdictions.</w:t>
      </w:r>
      <w:r w:rsidR="0096146F">
        <w:rPr>
          <w:rStyle w:val="Refdenotaderodap"/>
          <w:sz w:val="24"/>
          <w:szCs w:val="24"/>
          <w:lang w:val="en-US"/>
        </w:rPr>
        <w:footnoteReference w:id="162"/>
      </w:r>
      <w:r>
        <w:rPr>
          <w:sz w:val="24"/>
          <w:szCs w:val="24"/>
          <w:lang w:val="en-US"/>
        </w:rPr>
        <w:t xml:space="preserve"> </w:t>
      </w:r>
    </w:p>
    <w:p w:rsidR="00A56C80" w:rsidRDefault="00A56C80" w:rsidP="00260800">
      <w:pPr>
        <w:jc w:val="both"/>
        <w:rPr>
          <w:sz w:val="24"/>
          <w:szCs w:val="24"/>
          <w:lang w:val="en-US"/>
        </w:rPr>
      </w:pPr>
      <w:r>
        <w:rPr>
          <w:sz w:val="24"/>
          <w:szCs w:val="24"/>
          <w:lang w:val="en-US"/>
        </w:rPr>
        <w:tab/>
      </w:r>
      <w:r w:rsidR="00CA6698">
        <w:rPr>
          <w:sz w:val="24"/>
          <w:szCs w:val="24"/>
          <w:lang w:val="en-US"/>
        </w:rPr>
        <w:t xml:space="preserve">Moreover, </w:t>
      </w:r>
      <w:r>
        <w:rPr>
          <w:sz w:val="24"/>
          <w:szCs w:val="24"/>
          <w:lang w:val="en-US"/>
        </w:rPr>
        <w:t>one of the most controversial mechanisms of the Brazilian system of corporate governance is the part</w:t>
      </w:r>
      <w:r w:rsidR="009D15F2">
        <w:rPr>
          <w:sz w:val="24"/>
          <w:szCs w:val="24"/>
          <w:lang w:val="en-US"/>
        </w:rPr>
        <w:t xml:space="preserve">icular strength </w:t>
      </w:r>
      <w:r w:rsidR="00C40B2B">
        <w:rPr>
          <w:sz w:val="24"/>
          <w:szCs w:val="24"/>
          <w:lang w:val="en-US"/>
        </w:rPr>
        <w:t>accorded to</w:t>
      </w:r>
      <w:r>
        <w:rPr>
          <w:sz w:val="24"/>
          <w:szCs w:val="24"/>
          <w:lang w:val="en-US"/>
        </w:rPr>
        <w:t xml:space="preserve"> shareholder agreements. Contrary to international </w:t>
      </w:r>
      <w:r w:rsidR="008D09EA">
        <w:rPr>
          <w:sz w:val="24"/>
          <w:szCs w:val="24"/>
          <w:lang w:val="en-US"/>
        </w:rPr>
        <w:t>norms</w:t>
      </w:r>
      <w:r>
        <w:rPr>
          <w:sz w:val="24"/>
          <w:szCs w:val="24"/>
          <w:lang w:val="en-US"/>
        </w:rPr>
        <w:t xml:space="preserve">—and to the dismay of corporate governance advocates—Brazilian law permits shareholder agreements to bind directors’ votes. </w:t>
      </w:r>
      <w:r w:rsidR="000F6419">
        <w:rPr>
          <w:sz w:val="24"/>
          <w:szCs w:val="24"/>
          <w:lang w:val="en-US"/>
        </w:rPr>
        <w:t>Since a 2001 amendment to the statute</w:t>
      </w:r>
      <w:r>
        <w:rPr>
          <w:sz w:val="24"/>
          <w:szCs w:val="24"/>
          <w:lang w:val="en-US"/>
        </w:rPr>
        <w:t xml:space="preserve">, votes cast in violation of a duly filed agreement </w:t>
      </w:r>
      <w:r w:rsidR="00B85081">
        <w:rPr>
          <w:sz w:val="24"/>
          <w:szCs w:val="24"/>
          <w:lang w:val="en-US"/>
        </w:rPr>
        <w:t>do not even count</w:t>
      </w:r>
      <w:r>
        <w:rPr>
          <w:sz w:val="24"/>
          <w:szCs w:val="24"/>
          <w:lang w:val="en-US"/>
        </w:rPr>
        <w:t xml:space="preserve"> in shareholder and </w:t>
      </w:r>
      <w:r w:rsidR="00412826">
        <w:rPr>
          <w:sz w:val="24"/>
          <w:szCs w:val="24"/>
          <w:lang w:val="en-US"/>
        </w:rPr>
        <w:t>board</w:t>
      </w:r>
      <w:r>
        <w:rPr>
          <w:sz w:val="24"/>
          <w:szCs w:val="24"/>
          <w:lang w:val="en-US"/>
        </w:rPr>
        <w:t xml:space="preserve"> meetings.</w:t>
      </w:r>
      <w:r w:rsidR="00676BE6">
        <w:rPr>
          <w:rStyle w:val="Refdenotaderodap"/>
          <w:sz w:val="24"/>
          <w:szCs w:val="24"/>
          <w:lang w:val="en-US"/>
        </w:rPr>
        <w:footnoteReference w:id="163"/>
      </w:r>
      <w:r>
        <w:rPr>
          <w:sz w:val="24"/>
          <w:szCs w:val="24"/>
          <w:lang w:val="en-US"/>
        </w:rPr>
        <w:t xml:space="preserve"> </w:t>
      </w:r>
      <w:r w:rsidR="008A5B73">
        <w:rPr>
          <w:sz w:val="24"/>
          <w:szCs w:val="24"/>
          <w:lang w:val="en-US"/>
        </w:rPr>
        <w:t xml:space="preserve">Conversely, if shareholders or directors bound by the agreement are absent from a meeting, the other party may </w:t>
      </w:r>
      <w:r w:rsidR="008D09EA">
        <w:rPr>
          <w:sz w:val="24"/>
          <w:szCs w:val="24"/>
          <w:lang w:val="en-US"/>
        </w:rPr>
        <w:t xml:space="preserve">cast a </w:t>
      </w:r>
      <w:r w:rsidR="008A5B73">
        <w:rPr>
          <w:sz w:val="24"/>
          <w:szCs w:val="24"/>
          <w:lang w:val="en-US"/>
        </w:rPr>
        <w:t>vote on their behalf.</w:t>
      </w:r>
      <w:r w:rsidR="008A5B73">
        <w:rPr>
          <w:rStyle w:val="Refdenotaderodap"/>
          <w:sz w:val="24"/>
          <w:szCs w:val="24"/>
          <w:lang w:val="en-US"/>
        </w:rPr>
        <w:footnoteReference w:id="164"/>
      </w:r>
      <w:r w:rsidR="008A5B73">
        <w:rPr>
          <w:sz w:val="24"/>
          <w:szCs w:val="24"/>
          <w:lang w:val="en-US"/>
        </w:rPr>
        <w:t xml:space="preserve"> </w:t>
      </w:r>
      <w:r w:rsidR="009D15F2">
        <w:rPr>
          <w:sz w:val="24"/>
          <w:szCs w:val="24"/>
          <w:lang w:val="en-US"/>
        </w:rPr>
        <w:t>Admittedly</w:t>
      </w:r>
      <w:r>
        <w:rPr>
          <w:sz w:val="24"/>
          <w:szCs w:val="24"/>
          <w:lang w:val="en-US"/>
        </w:rPr>
        <w:t xml:space="preserve">, the </w:t>
      </w:r>
      <w:r w:rsidR="00D22577">
        <w:rPr>
          <w:sz w:val="24"/>
          <w:szCs w:val="24"/>
          <w:lang w:val="en-US"/>
        </w:rPr>
        <w:t>LSA</w:t>
      </w:r>
      <w:r>
        <w:rPr>
          <w:sz w:val="24"/>
          <w:szCs w:val="24"/>
          <w:lang w:val="en-US"/>
        </w:rPr>
        <w:t xml:space="preserve"> expressly provides that a shareholders’ agreement cannot override </w:t>
      </w:r>
      <w:r w:rsidR="00CE4F22">
        <w:rPr>
          <w:sz w:val="24"/>
          <w:szCs w:val="24"/>
          <w:lang w:val="en-US"/>
        </w:rPr>
        <w:t>controlling shareholders’</w:t>
      </w:r>
      <w:r>
        <w:rPr>
          <w:sz w:val="24"/>
          <w:szCs w:val="24"/>
          <w:lang w:val="en-US"/>
        </w:rPr>
        <w:t xml:space="preserve"> fiduciary duties</w:t>
      </w:r>
      <w:r w:rsidR="00755769">
        <w:rPr>
          <w:sz w:val="24"/>
          <w:szCs w:val="24"/>
          <w:lang w:val="en-US"/>
        </w:rPr>
        <w:t>.</w:t>
      </w:r>
      <w:r w:rsidR="00CE4F22">
        <w:rPr>
          <w:rStyle w:val="Refdenotaderodap"/>
          <w:sz w:val="24"/>
          <w:szCs w:val="24"/>
          <w:lang w:val="en-US"/>
        </w:rPr>
        <w:footnoteReference w:id="165"/>
      </w:r>
      <w:r w:rsidR="00755769">
        <w:rPr>
          <w:sz w:val="24"/>
          <w:szCs w:val="24"/>
          <w:lang w:val="en-US"/>
        </w:rPr>
        <w:t xml:space="preserve"> </w:t>
      </w:r>
      <w:r w:rsidR="00CE4F22">
        <w:rPr>
          <w:sz w:val="24"/>
          <w:szCs w:val="24"/>
          <w:lang w:val="en-US"/>
        </w:rPr>
        <w:t>Nevertheless</w:t>
      </w:r>
      <w:r w:rsidR="00D7501F">
        <w:rPr>
          <w:sz w:val="24"/>
          <w:szCs w:val="24"/>
          <w:lang w:val="en-US"/>
        </w:rPr>
        <w:t>, shareholder agreements remain</w:t>
      </w:r>
      <w:r w:rsidR="004C027B">
        <w:rPr>
          <w:sz w:val="24"/>
          <w:szCs w:val="24"/>
          <w:lang w:val="en-US"/>
        </w:rPr>
        <w:t xml:space="preserve"> largely </w:t>
      </w:r>
      <w:r w:rsidR="00755769">
        <w:rPr>
          <w:sz w:val="24"/>
          <w:szCs w:val="24"/>
          <w:lang w:val="en-US"/>
        </w:rPr>
        <w:t>self</w:t>
      </w:r>
      <w:r w:rsidR="004C027B">
        <w:rPr>
          <w:sz w:val="24"/>
          <w:szCs w:val="24"/>
          <w:lang w:val="en-US"/>
        </w:rPr>
        <w:t>-</w:t>
      </w:r>
      <w:proofErr w:type="gramStart"/>
      <w:r w:rsidR="00755769">
        <w:rPr>
          <w:sz w:val="24"/>
          <w:szCs w:val="24"/>
          <w:lang w:val="en-US"/>
        </w:rPr>
        <w:t>enforcing,</w:t>
      </w:r>
      <w:proofErr w:type="gramEnd"/>
      <w:r w:rsidR="00755769">
        <w:rPr>
          <w:sz w:val="24"/>
          <w:szCs w:val="24"/>
          <w:lang w:val="en-US"/>
        </w:rPr>
        <w:t xml:space="preserve"> to the effect that aggrieved shareholders </w:t>
      </w:r>
      <w:r w:rsidR="008D09EA">
        <w:rPr>
          <w:sz w:val="24"/>
          <w:szCs w:val="24"/>
          <w:lang w:val="en-US"/>
        </w:rPr>
        <w:t xml:space="preserve">seeking to challenge decisions mandated </w:t>
      </w:r>
      <w:r w:rsidR="00755769">
        <w:rPr>
          <w:sz w:val="24"/>
          <w:szCs w:val="24"/>
          <w:lang w:val="en-US"/>
        </w:rPr>
        <w:t xml:space="preserve">by </w:t>
      </w:r>
      <w:r w:rsidR="008D09EA">
        <w:rPr>
          <w:sz w:val="24"/>
          <w:szCs w:val="24"/>
          <w:lang w:val="en-US"/>
        </w:rPr>
        <w:t>such</w:t>
      </w:r>
      <w:r w:rsidR="00755769">
        <w:rPr>
          <w:sz w:val="24"/>
          <w:szCs w:val="24"/>
          <w:lang w:val="en-US"/>
        </w:rPr>
        <w:t xml:space="preserve"> agreements face an uphill battle</w:t>
      </w:r>
      <w:r>
        <w:rPr>
          <w:sz w:val="24"/>
          <w:szCs w:val="24"/>
          <w:lang w:val="en-US"/>
        </w:rPr>
        <w:t>.</w:t>
      </w:r>
      <w:r w:rsidR="009E235A">
        <w:rPr>
          <w:rStyle w:val="Refdenotaderodap"/>
          <w:sz w:val="24"/>
          <w:szCs w:val="24"/>
          <w:lang w:val="en-US"/>
        </w:rPr>
        <w:footnoteReference w:id="166"/>
      </w:r>
      <w:r>
        <w:rPr>
          <w:sz w:val="24"/>
          <w:szCs w:val="24"/>
          <w:lang w:val="en-US"/>
        </w:rPr>
        <w:t xml:space="preserve"> </w:t>
      </w:r>
    </w:p>
    <w:p w:rsidR="00692A2D" w:rsidRDefault="00692A2D" w:rsidP="00692A2D">
      <w:pPr>
        <w:ind w:firstLine="708"/>
        <w:jc w:val="both"/>
        <w:rPr>
          <w:sz w:val="24"/>
          <w:szCs w:val="24"/>
          <w:lang w:val="en-US"/>
        </w:rPr>
      </w:pPr>
      <w:r>
        <w:rPr>
          <w:sz w:val="24"/>
          <w:szCs w:val="24"/>
          <w:lang w:val="en-US"/>
        </w:rPr>
        <w:t xml:space="preserve">A recent </w:t>
      </w:r>
      <w:r w:rsidR="00983A71">
        <w:rPr>
          <w:sz w:val="24"/>
          <w:szCs w:val="24"/>
          <w:lang w:val="en-US"/>
        </w:rPr>
        <w:t>controversy</w:t>
      </w:r>
      <w:r>
        <w:rPr>
          <w:sz w:val="24"/>
          <w:szCs w:val="24"/>
          <w:lang w:val="en-US"/>
        </w:rPr>
        <w:t xml:space="preserve"> involving </w:t>
      </w:r>
      <w:proofErr w:type="spellStart"/>
      <w:r>
        <w:rPr>
          <w:sz w:val="24"/>
          <w:szCs w:val="24"/>
          <w:lang w:val="en-US"/>
        </w:rPr>
        <w:t>Eletrobras</w:t>
      </w:r>
      <w:proofErr w:type="spellEnd"/>
      <w:r>
        <w:rPr>
          <w:sz w:val="24"/>
          <w:szCs w:val="24"/>
          <w:lang w:val="en-US"/>
        </w:rPr>
        <w:t xml:space="preserve">, a listed power company controlled by the federal government, </w:t>
      </w:r>
      <w:r w:rsidR="00D70F62">
        <w:rPr>
          <w:sz w:val="24"/>
          <w:szCs w:val="24"/>
          <w:lang w:val="en-US"/>
        </w:rPr>
        <w:t>illustrates this weak</w:t>
      </w:r>
      <w:r>
        <w:rPr>
          <w:sz w:val="24"/>
          <w:szCs w:val="24"/>
          <w:lang w:val="en-US"/>
        </w:rPr>
        <w:t xml:space="preserve"> version of managerial delegation. In that case, the board called a shareh</w:t>
      </w:r>
      <w:r w:rsidR="00423F37">
        <w:rPr>
          <w:sz w:val="24"/>
          <w:szCs w:val="24"/>
          <w:lang w:val="en-US"/>
        </w:rPr>
        <w:t>olders’ meeting to decide on</w:t>
      </w:r>
      <w:r>
        <w:rPr>
          <w:sz w:val="24"/>
          <w:szCs w:val="24"/>
          <w:lang w:val="en-US"/>
        </w:rPr>
        <w:t xml:space="preserve"> the proposed renewal of certain concession contracts with the federal government</w:t>
      </w:r>
      <w:r w:rsidR="009D745D">
        <w:rPr>
          <w:sz w:val="24"/>
          <w:szCs w:val="24"/>
          <w:lang w:val="en-US"/>
        </w:rPr>
        <w:t>, on terms that appeared to be financially detrimental to the company</w:t>
      </w:r>
      <w:r>
        <w:rPr>
          <w:sz w:val="24"/>
          <w:szCs w:val="24"/>
          <w:lang w:val="en-US"/>
        </w:rPr>
        <w:t xml:space="preserve">. The state as shareholder voted to approve the renewal of the contracts, but Brazil’s Securities Commission (CVM) found such vote </w:t>
      </w:r>
      <w:r w:rsidR="00423F37">
        <w:rPr>
          <w:sz w:val="24"/>
          <w:szCs w:val="24"/>
          <w:lang w:val="en-US"/>
        </w:rPr>
        <w:t>to be</w:t>
      </w:r>
      <w:r>
        <w:rPr>
          <w:sz w:val="24"/>
          <w:szCs w:val="24"/>
          <w:lang w:val="en-US"/>
        </w:rPr>
        <w:t xml:space="preserve"> conflicted and</w:t>
      </w:r>
      <w:r w:rsidR="009D745D">
        <w:rPr>
          <w:sz w:val="24"/>
          <w:szCs w:val="24"/>
          <w:lang w:val="en-US"/>
        </w:rPr>
        <w:t>,</w:t>
      </w:r>
      <w:r>
        <w:rPr>
          <w:sz w:val="24"/>
          <w:szCs w:val="24"/>
          <w:lang w:val="en-US"/>
        </w:rPr>
        <w:t xml:space="preserve"> therefore</w:t>
      </w:r>
      <w:r w:rsidR="009D745D">
        <w:rPr>
          <w:sz w:val="24"/>
          <w:szCs w:val="24"/>
          <w:lang w:val="en-US"/>
        </w:rPr>
        <w:t>,</w:t>
      </w:r>
      <w:r>
        <w:rPr>
          <w:sz w:val="24"/>
          <w:szCs w:val="24"/>
          <w:lang w:val="en-US"/>
        </w:rPr>
        <w:t xml:space="preserve"> impermissible, thus </w:t>
      </w:r>
      <w:r w:rsidR="00423F37">
        <w:rPr>
          <w:sz w:val="24"/>
          <w:szCs w:val="24"/>
          <w:lang w:val="en-US"/>
        </w:rPr>
        <w:t>imposing a fine on the</w:t>
      </w:r>
      <w:r>
        <w:rPr>
          <w:sz w:val="24"/>
          <w:szCs w:val="24"/>
          <w:lang w:val="en-US"/>
        </w:rPr>
        <w:t xml:space="preserve"> government.</w:t>
      </w:r>
      <w:r w:rsidR="009D745D">
        <w:rPr>
          <w:rStyle w:val="Refdenotaderodap"/>
          <w:sz w:val="24"/>
          <w:szCs w:val="24"/>
          <w:lang w:val="en-US"/>
        </w:rPr>
        <w:footnoteReference w:id="167"/>
      </w:r>
      <w:r>
        <w:rPr>
          <w:sz w:val="24"/>
          <w:szCs w:val="24"/>
          <w:lang w:val="en-US"/>
        </w:rPr>
        <w:t xml:space="preserve">  For our purposes, however, it is noteworthy that (</w:t>
      </w:r>
      <w:proofErr w:type="spellStart"/>
      <w:r>
        <w:rPr>
          <w:sz w:val="24"/>
          <w:szCs w:val="24"/>
          <w:lang w:val="en-US"/>
        </w:rPr>
        <w:t>i</w:t>
      </w:r>
      <w:proofErr w:type="spellEnd"/>
      <w:r>
        <w:rPr>
          <w:sz w:val="24"/>
          <w:szCs w:val="24"/>
          <w:lang w:val="en-US"/>
        </w:rPr>
        <w:t xml:space="preserve">) </w:t>
      </w:r>
      <w:r w:rsidR="00423F37">
        <w:rPr>
          <w:sz w:val="24"/>
          <w:szCs w:val="24"/>
          <w:lang w:val="en-US"/>
        </w:rPr>
        <w:t>the shareholders’ meeting</w:t>
      </w:r>
      <w:r w:rsidR="009541FA">
        <w:rPr>
          <w:sz w:val="24"/>
          <w:szCs w:val="24"/>
          <w:lang w:val="en-US"/>
        </w:rPr>
        <w:t xml:space="preserve"> decided this question</w:t>
      </w:r>
      <w:r>
        <w:rPr>
          <w:sz w:val="24"/>
          <w:szCs w:val="24"/>
          <w:lang w:val="en-US"/>
        </w:rPr>
        <w:t>, even though</w:t>
      </w:r>
      <w:r w:rsidR="009541FA">
        <w:rPr>
          <w:sz w:val="24"/>
          <w:szCs w:val="24"/>
          <w:lang w:val="en-US"/>
        </w:rPr>
        <w:t xml:space="preserve"> the law did not require shareholder</w:t>
      </w:r>
      <w:r>
        <w:rPr>
          <w:sz w:val="24"/>
          <w:szCs w:val="24"/>
          <w:lang w:val="en-US"/>
        </w:rPr>
        <w:t xml:space="preserve"> </w:t>
      </w:r>
      <w:r w:rsidR="009541FA">
        <w:rPr>
          <w:sz w:val="24"/>
          <w:szCs w:val="24"/>
          <w:lang w:val="en-US"/>
        </w:rPr>
        <w:t>approval in this case</w:t>
      </w:r>
      <w:r>
        <w:rPr>
          <w:sz w:val="24"/>
          <w:szCs w:val="24"/>
          <w:lang w:val="en-US"/>
        </w:rPr>
        <w:t>, and (ii) there was no disclosure o</w:t>
      </w:r>
      <w:r w:rsidR="00423F37">
        <w:rPr>
          <w:sz w:val="24"/>
          <w:szCs w:val="24"/>
          <w:lang w:val="en-US"/>
        </w:rPr>
        <w:t>f</w:t>
      </w:r>
      <w:r>
        <w:rPr>
          <w:sz w:val="24"/>
          <w:szCs w:val="24"/>
          <w:lang w:val="en-US"/>
        </w:rPr>
        <w:t xml:space="preserve"> the board’s position or recommendation with respect to the</w:t>
      </w:r>
      <w:r w:rsidR="00423F37">
        <w:rPr>
          <w:sz w:val="24"/>
          <w:szCs w:val="24"/>
          <w:lang w:val="en-US"/>
        </w:rPr>
        <w:t xml:space="preserve"> proposed</w:t>
      </w:r>
      <w:r>
        <w:rPr>
          <w:sz w:val="24"/>
          <w:szCs w:val="24"/>
          <w:lang w:val="en-US"/>
        </w:rPr>
        <w:t xml:space="preserve"> renewal of the contracts.</w:t>
      </w:r>
      <w:r>
        <w:rPr>
          <w:rStyle w:val="Refdenotaderodap"/>
          <w:sz w:val="24"/>
          <w:szCs w:val="24"/>
          <w:lang w:val="en-US"/>
        </w:rPr>
        <w:footnoteReference w:id="168"/>
      </w:r>
    </w:p>
    <w:p w:rsidR="00A56C80" w:rsidRDefault="00A56C80" w:rsidP="00260800">
      <w:pPr>
        <w:jc w:val="both"/>
        <w:rPr>
          <w:sz w:val="24"/>
          <w:szCs w:val="24"/>
          <w:lang w:val="en-US"/>
        </w:rPr>
      </w:pPr>
      <w:r>
        <w:rPr>
          <w:sz w:val="24"/>
          <w:szCs w:val="24"/>
          <w:lang w:val="en-US"/>
        </w:rPr>
        <w:tab/>
        <w:t>All of this suggests that management of Brazilian corporations—</w:t>
      </w:r>
      <w:r w:rsidR="006F0278">
        <w:rPr>
          <w:sz w:val="24"/>
          <w:szCs w:val="24"/>
          <w:lang w:val="en-US"/>
        </w:rPr>
        <w:t>including</w:t>
      </w:r>
      <w:r>
        <w:rPr>
          <w:sz w:val="24"/>
          <w:szCs w:val="24"/>
          <w:lang w:val="en-US"/>
        </w:rPr>
        <w:t xml:space="preserve"> </w:t>
      </w:r>
      <w:proofErr w:type="gramStart"/>
      <w:r>
        <w:rPr>
          <w:sz w:val="24"/>
          <w:szCs w:val="24"/>
          <w:lang w:val="en-US"/>
        </w:rPr>
        <w:t>publicly-traded</w:t>
      </w:r>
      <w:proofErr w:type="gramEnd"/>
      <w:r>
        <w:rPr>
          <w:sz w:val="24"/>
          <w:szCs w:val="24"/>
          <w:lang w:val="en-US"/>
        </w:rPr>
        <w:t xml:space="preserve"> corporations—</w:t>
      </w:r>
      <w:r w:rsidR="00B3469A">
        <w:rPr>
          <w:sz w:val="24"/>
          <w:szCs w:val="24"/>
          <w:lang w:val="en-US"/>
        </w:rPr>
        <w:t>is not</w:t>
      </w:r>
      <w:r>
        <w:rPr>
          <w:sz w:val="24"/>
          <w:szCs w:val="24"/>
          <w:lang w:val="en-US"/>
        </w:rPr>
        <w:t xml:space="preserve"> that delegated after all. A</w:t>
      </w:r>
      <w:r w:rsidR="00423F37">
        <w:rPr>
          <w:sz w:val="24"/>
          <w:szCs w:val="24"/>
          <w:lang w:val="en-US"/>
        </w:rPr>
        <w:t>n additional</w:t>
      </w:r>
      <w:r>
        <w:rPr>
          <w:sz w:val="24"/>
          <w:szCs w:val="24"/>
          <w:lang w:val="en-US"/>
        </w:rPr>
        <w:t xml:space="preserve"> distinction </w:t>
      </w:r>
      <w:r w:rsidR="00094451">
        <w:rPr>
          <w:sz w:val="24"/>
          <w:szCs w:val="24"/>
          <w:lang w:val="en-US"/>
        </w:rPr>
        <w:t>applies to</w:t>
      </w:r>
      <w:r>
        <w:rPr>
          <w:sz w:val="24"/>
          <w:szCs w:val="24"/>
          <w:lang w:val="en-US"/>
        </w:rPr>
        <w:t xml:space="preserve"> the qualification of delegated management “</w:t>
      </w:r>
      <w:r>
        <w:rPr>
          <w:i/>
          <w:sz w:val="24"/>
          <w:szCs w:val="24"/>
          <w:lang w:val="en-US"/>
        </w:rPr>
        <w:t>under a board structure</w:t>
      </w:r>
      <w:r>
        <w:rPr>
          <w:sz w:val="24"/>
          <w:szCs w:val="24"/>
          <w:lang w:val="en-US"/>
        </w:rPr>
        <w:t xml:space="preserve">.” The </w:t>
      </w:r>
      <w:r>
        <w:rPr>
          <w:sz w:val="24"/>
          <w:szCs w:val="24"/>
          <w:lang w:val="en-US"/>
        </w:rPr>
        <w:lastRenderedPageBreak/>
        <w:t>exposition so far has alluded to a board of directors</w:t>
      </w:r>
      <w:r w:rsidR="00B3469A">
        <w:rPr>
          <w:sz w:val="24"/>
          <w:szCs w:val="24"/>
          <w:lang w:val="en-US"/>
        </w:rPr>
        <w:t xml:space="preserve"> (</w:t>
      </w:r>
      <w:proofErr w:type="spellStart"/>
      <w:r w:rsidR="00B3469A">
        <w:rPr>
          <w:i/>
          <w:sz w:val="24"/>
          <w:szCs w:val="24"/>
          <w:lang w:val="en-US"/>
        </w:rPr>
        <w:t>conselho</w:t>
      </w:r>
      <w:proofErr w:type="spellEnd"/>
      <w:r w:rsidR="00B3469A">
        <w:rPr>
          <w:i/>
          <w:sz w:val="24"/>
          <w:szCs w:val="24"/>
          <w:lang w:val="en-US"/>
        </w:rPr>
        <w:t xml:space="preserve"> de </w:t>
      </w:r>
      <w:proofErr w:type="spellStart"/>
      <w:r w:rsidR="00A72087">
        <w:rPr>
          <w:i/>
          <w:sz w:val="24"/>
          <w:szCs w:val="24"/>
          <w:lang w:val="en-US"/>
        </w:rPr>
        <w:t>a</w:t>
      </w:r>
      <w:r w:rsidR="00B3469A">
        <w:rPr>
          <w:i/>
          <w:sz w:val="24"/>
          <w:szCs w:val="24"/>
          <w:lang w:val="en-US"/>
        </w:rPr>
        <w:t>dministração</w:t>
      </w:r>
      <w:proofErr w:type="spellEnd"/>
      <w:r w:rsidR="00B3469A">
        <w:rPr>
          <w:sz w:val="24"/>
          <w:szCs w:val="24"/>
          <w:lang w:val="en-US"/>
        </w:rPr>
        <w:t>)</w:t>
      </w:r>
      <w:r>
        <w:rPr>
          <w:sz w:val="24"/>
          <w:szCs w:val="24"/>
          <w:lang w:val="en-US"/>
        </w:rPr>
        <w:t>, which is mandatory for publicly-traded corporations, mixed enterprises controlled by the state, and companies subject to the regime of authorized capital</w:t>
      </w:r>
      <w:r w:rsidR="0010676D">
        <w:rPr>
          <w:sz w:val="24"/>
          <w:szCs w:val="24"/>
          <w:lang w:val="en-US"/>
        </w:rPr>
        <w:t xml:space="preserve"> under of Brazil’s LSA of 1976</w:t>
      </w:r>
      <w:r>
        <w:rPr>
          <w:sz w:val="24"/>
          <w:szCs w:val="24"/>
          <w:lang w:val="en-US"/>
        </w:rPr>
        <w:t>.</w:t>
      </w:r>
      <w:bookmarkStart w:id="32" w:name="_Ref456340205"/>
      <w:r w:rsidR="00754D19">
        <w:rPr>
          <w:rStyle w:val="Refdenotaderodap"/>
          <w:sz w:val="24"/>
          <w:szCs w:val="24"/>
          <w:lang w:val="en-US"/>
        </w:rPr>
        <w:footnoteReference w:id="169"/>
      </w:r>
      <w:bookmarkEnd w:id="32"/>
      <w:r w:rsidR="0010676D">
        <w:rPr>
          <w:sz w:val="24"/>
          <w:szCs w:val="24"/>
          <w:lang w:val="en-US"/>
        </w:rPr>
        <w:t xml:space="preserve"> Before then, the concept of a board of directors did not even exist under Brazilian law, </w:t>
      </w:r>
      <w:r w:rsidR="00E97497">
        <w:rPr>
          <w:sz w:val="24"/>
          <w:szCs w:val="24"/>
          <w:lang w:val="en-US"/>
        </w:rPr>
        <w:t>with the previous</w:t>
      </w:r>
      <w:r w:rsidR="0010676D">
        <w:rPr>
          <w:sz w:val="24"/>
          <w:szCs w:val="24"/>
          <w:lang w:val="en-US"/>
        </w:rPr>
        <w:t xml:space="preserve"> statute of 1946 provid</w:t>
      </w:r>
      <w:r w:rsidR="00E97497">
        <w:rPr>
          <w:sz w:val="24"/>
          <w:szCs w:val="24"/>
          <w:lang w:val="en-US"/>
        </w:rPr>
        <w:t>ing</w:t>
      </w:r>
      <w:r w:rsidR="0010676D">
        <w:rPr>
          <w:sz w:val="24"/>
          <w:szCs w:val="24"/>
          <w:lang w:val="en-US"/>
        </w:rPr>
        <w:t xml:space="preserve"> that all corporations would have one or more officers, as well as a “board of supervisors” (</w:t>
      </w:r>
      <w:proofErr w:type="spellStart"/>
      <w:r w:rsidR="0010676D">
        <w:rPr>
          <w:i/>
          <w:sz w:val="24"/>
          <w:szCs w:val="24"/>
          <w:lang w:val="en-US"/>
        </w:rPr>
        <w:t>conselho</w:t>
      </w:r>
      <w:proofErr w:type="spellEnd"/>
      <w:r w:rsidR="0010676D">
        <w:rPr>
          <w:i/>
          <w:sz w:val="24"/>
          <w:szCs w:val="24"/>
          <w:lang w:val="en-US"/>
        </w:rPr>
        <w:t xml:space="preserve"> fiscal</w:t>
      </w:r>
      <w:r w:rsidR="0010676D">
        <w:rPr>
          <w:sz w:val="24"/>
          <w:szCs w:val="24"/>
          <w:lang w:val="en-US"/>
        </w:rPr>
        <w:t>) elected by shareholders to monitor the company’s accounts.</w:t>
      </w:r>
      <w:r w:rsidR="0010676D">
        <w:rPr>
          <w:rStyle w:val="Refdenotaderodap"/>
          <w:sz w:val="24"/>
          <w:szCs w:val="24"/>
          <w:lang w:val="en-US"/>
        </w:rPr>
        <w:footnoteReference w:id="170"/>
      </w:r>
      <w:r w:rsidR="0010676D">
        <w:rPr>
          <w:sz w:val="24"/>
          <w:szCs w:val="24"/>
          <w:lang w:val="en-US"/>
        </w:rPr>
        <w:t xml:space="preserve">   </w:t>
      </w:r>
    </w:p>
    <w:p w:rsidR="00A56C80" w:rsidRDefault="00A56C80" w:rsidP="00260800">
      <w:pPr>
        <w:jc w:val="both"/>
        <w:rPr>
          <w:sz w:val="24"/>
          <w:szCs w:val="24"/>
          <w:lang w:val="en-US"/>
        </w:rPr>
      </w:pPr>
      <w:r>
        <w:rPr>
          <w:sz w:val="24"/>
          <w:szCs w:val="24"/>
          <w:lang w:val="en-US"/>
        </w:rPr>
        <w:tab/>
      </w:r>
      <w:r w:rsidR="0010676D">
        <w:rPr>
          <w:sz w:val="24"/>
          <w:szCs w:val="24"/>
          <w:lang w:val="en-US"/>
        </w:rPr>
        <w:t xml:space="preserve">Even today, however, </w:t>
      </w:r>
      <w:proofErr w:type="gramStart"/>
      <w:r w:rsidR="0010676D">
        <w:rPr>
          <w:sz w:val="24"/>
          <w:szCs w:val="24"/>
          <w:lang w:val="en-US"/>
        </w:rPr>
        <w:t>c</w:t>
      </w:r>
      <w:r>
        <w:rPr>
          <w:sz w:val="24"/>
          <w:szCs w:val="24"/>
          <w:lang w:val="en-US"/>
        </w:rPr>
        <w:t>losely-held</w:t>
      </w:r>
      <w:proofErr w:type="gramEnd"/>
      <w:r>
        <w:rPr>
          <w:sz w:val="24"/>
          <w:szCs w:val="24"/>
          <w:lang w:val="en-US"/>
        </w:rPr>
        <w:t xml:space="preserve"> corporations need not have a board of directors, but only a “board of officers” (</w:t>
      </w:r>
      <w:proofErr w:type="spellStart"/>
      <w:r>
        <w:rPr>
          <w:i/>
          <w:sz w:val="24"/>
          <w:szCs w:val="24"/>
          <w:lang w:val="en-US"/>
        </w:rPr>
        <w:t>diretoria</w:t>
      </w:r>
      <w:proofErr w:type="spellEnd"/>
      <w:r>
        <w:rPr>
          <w:sz w:val="24"/>
          <w:szCs w:val="24"/>
          <w:lang w:val="en-US"/>
        </w:rPr>
        <w:t xml:space="preserve">). Translating </w:t>
      </w:r>
      <w:proofErr w:type="spellStart"/>
      <w:r>
        <w:rPr>
          <w:i/>
          <w:sz w:val="24"/>
          <w:szCs w:val="24"/>
          <w:lang w:val="en-US"/>
        </w:rPr>
        <w:t>diretoria</w:t>
      </w:r>
      <w:proofErr w:type="spellEnd"/>
      <w:r>
        <w:rPr>
          <w:i/>
          <w:sz w:val="24"/>
          <w:szCs w:val="24"/>
          <w:lang w:val="en-US"/>
        </w:rPr>
        <w:t xml:space="preserve"> </w:t>
      </w:r>
      <w:r>
        <w:rPr>
          <w:sz w:val="24"/>
          <w:szCs w:val="24"/>
          <w:lang w:val="en-US"/>
        </w:rPr>
        <w:t xml:space="preserve">as a board, however, is somewhat of a misnomer. The reason for this is that even though the statute provides that </w:t>
      </w:r>
      <w:proofErr w:type="spellStart"/>
      <w:r>
        <w:rPr>
          <w:i/>
          <w:sz w:val="24"/>
          <w:szCs w:val="24"/>
          <w:lang w:val="en-US"/>
        </w:rPr>
        <w:t>diretoria</w:t>
      </w:r>
      <w:proofErr w:type="spellEnd"/>
      <w:r>
        <w:rPr>
          <w:i/>
          <w:sz w:val="24"/>
          <w:szCs w:val="24"/>
          <w:lang w:val="en-US"/>
        </w:rPr>
        <w:t xml:space="preserve"> </w:t>
      </w:r>
      <w:r>
        <w:rPr>
          <w:sz w:val="24"/>
          <w:szCs w:val="24"/>
          <w:lang w:val="en-US"/>
        </w:rPr>
        <w:t xml:space="preserve">must have at least two officers, and certainly </w:t>
      </w:r>
      <w:r w:rsidR="00A72087">
        <w:rPr>
          <w:sz w:val="24"/>
          <w:szCs w:val="24"/>
          <w:lang w:val="en-US"/>
        </w:rPr>
        <w:t>contemplates</w:t>
      </w:r>
      <w:r>
        <w:rPr>
          <w:sz w:val="24"/>
          <w:szCs w:val="24"/>
          <w:lang w:val="en-US"/>
        </w:rPr>
        <w:t xml:space="preserve"> meetings of </w:t>
      </w:r>
      <w:proofErr w:type="spellStart"/>
      <w:r>
        <w:rPr>
          <w:i/>
          <w:sz w:val="24"/>
          <w:szCs w:val="24"/>
          <w:lang w:val="en-US"/>
        </w:rPr>
        <w:t>diretoria</w:t>
      </w:r>
      <w:proofErr w:type="spellEnd"/>
      <w:r>
        <w:rPr>
          <w:sz w:val="24"/>
          <w:szCs w:val="24"/>
          <w:lang w:val="en-US"/>
        </w:rPr>
        <w:t>, as determined by t</w:t>
      </w:r>
      <w:r w:rsidR="00423F37">
        <w:rPr>
          <w:sz w:val="24"/>
          <w:szCs w:val="24"/>
          <w:lang w:val="en-US"/>
        </w:rPr>
        <w:t>he charter,</w:t>
      </w:r>
      <w:r>
        <w:rPr>
          <w:sz w:val="24"/>
          <w:szCs w:val="24"/>
          <w:lang w:val="en-US"/>
        </w:rPr>
        <w:t xml:space="preserve"> nothing in the law requires officers to make collegial deliberations. This means that the statutory framework in Brazil assigns a modest role to the board of directors where</w:t>
      </w:r>
      <w:r w:rsidR="00B3469A">
        <w:rPr>
          <w:sz w:val="24"/>
          <w:szCs w:val="24"/>
          <w:lang w:val="en-US"/>
        </w:rPr>
        <w:t xml:space="preserve"> it exists,</w:t>
      </w:r>
      <w:r>
        <w:rPr>
          <w:sz w:val="24"/>
          <w:szCs w:val="24"/>
          <w:lang w:val="en-US"/>
        </w:rPr>
        <w:t xml:space="preserve"> and dispenses with </w:t>
      </w:r>
      <w:r w:rsidR="00B3469A">
        <w:rPr>
          <w:sz w:val="24"/>
          <w:szCs w:val="24"/>
          <w:lang w:val="en-US"/>
        </w:rPr>
        <w:t>a board structure</w:t>
      </w:r>
      <w:r>
        <w:rPr>
          <w:sz w:val="24"/>
          <w:szCs w:val="24"/>
          <w:lang w:val="en-US"/>
        </w:rPr>
        <w:t xml:space="preserve"> altogether in other contexts. </w:t>
      </w:r>
    </w:p>
    <w:p w:rsidR="00813C66" w:rsidRPr="00692A2D" w:rsidRDefault="004A7EA6" w:rsidP="00260800">
      <w:pPr>
        <w:jc w:val="both"/>
        <w:rPr>
          <w:sz w:val="24"/>
          <w:szCs w:val="24"/>
          <w:lang w:val="en-US"/>
        </w:rPr>
      </w:pPr>
      <w:r>
        <w:rPr>
          <w:sz w:val="24"/>
          <w:szCs w:val="24"/>
          <w:lang w:val="en-US"/>
        </w:rPr>
        <w:tab/>
      </w:r>
      <w:r w:rsidR="00A56C80">
        <w:rPr>
          <w:sz w:val="24"/>
          <w:szCs w:val="24"/>
          <w:lang w:val="en-US"/>
        </w:rPr>
        <w:t xml:space="preserve">To be sure, </w:t>
      </w:r>
      <w:r w:rsidR="005B2D09">
        <w:rPr>
          <w:sz w:val="24"/>
          <w:szCs w:val="24"/>
          <w:lang w:val="en-US"/>
        </w:rPr>
        <w:t xml:space="preserve">Brazil has not been immune to the international sway of corporate governance best practices, which focus heavily on strong and independent board decision-making. Companies typically attribute greater powers to the board than those required by statute. Brazil’s securities regulators also increasingly </w:t>
      </w:r>
      <w:r w:rsidR="000441C8">
        <w:rPr>
          <w:sz w:val="24"/>
          <w:szCs w:val="24"/>
          <w:lang w:val="en-US"/>
        </w:rPr>
        <w:t>rely</w:t>
      </w:r>
      <w:r w:rsidR="005B2D09">
        <w:rPr>
          <w:sz w:val="24"/>
          <w:szCs w:val="24"/>
          <w:lang w:val="en-US"/>
        </w:rPr>
        <w:t xml:space="preserve"> on independent committees </w:t>
      </w:r>
      <w:r w:rsidR="00423F37">
        <w:rPr>
          <w:sz w:val="24"/>
          <w:szCs w:val="24"/>
          <w:lang w:val="en-US"/>
        </w:rPr>
        <w:t>to address</w:t>
      </w:r>
      <w:r w:rsidR="005B2D09">
        <w:rPr>
          <w:sz w:val="24"/>
          <w:szCs w:val="24"/>
          <w:lang w:val="en-US"/>
        </w:rPr>
        <w:t xml:space="preserve"> conflicts of interest.</w:t>
      </w:r>
      <w:r w:rsidR="006D676E">
        <w:rPr>
          <w:rStyle w:val="Refdenotaderodap"/>
          <w:sz w:val="24"/>
          <w:szCs w:val="24"/>
          <w:lang w:val="en-US"/>
        </w:rPr>
        <w:footnoteReference w:id="171"/>
      </w:r>
      <w:r w:rsidR="005B2D09">
        <w:rPr>
          <w:sz w:val="24"/>
          <w:szCs w:val="24"/>
          <w:lang w:val="en-US"/>
        </w:rPr>
        <w:t xml:space="preserve"> Nevertheless, the rise of board centrality is often illusory, either because shareholders are present or represented on the board, or because shareholder</w:t>
      </w:r>
      <w:r w:rsidR="00760E9C">
        <w:rPr>
          <w:sz w:val="24"/>
          <w:szCs w:val="24"/>
          <w:lang w:val="en-US"/>
        </w:rPr>
        <w:t xml:space="preserve"> agreements</w:t>
      </w:r>
      <w:r w:rsidR="005B2D09">
        <w:rPr>
          <w:sz w:val="24"/>
          <w:szCs w:val="24"/>
          <w:lang w:val="en-US"/>
        </w:rPr>
        <w:t xml:space="preserve"> have previously determined the board’s votes.</w:t>
      </w:r>
      <w:r w:rsidR="00802DA6">
        <w:rPr>
          <w:rStyle w:val="Refdenotaderodap"/>
          <w:sz w:val="24"/>
          <w:szCs w:val="24"/>
          <w:lang w:val="en-US"/>
        </w:rPr>
        <w:footnoteReference w:id="172"/>
      </w:r>
      <w:r w:rsidR="005B2D09">
        <w:rPr>
          <w:sz w:val="24"/>
          <w:szCs w:val="24"/>
          <w:lang w:val="en-US"/>
        </w:rPr>
        <w:t xml:space="preserve"> </w:t>
      </w:r>
      <w:r w:rsidR="00B94DFB">
        <w:rPr>
          <w:sz w:val="24"/>
          <w:szCs w:val="24"/>
          <w:lang w:val="en-US"/>
        </w:rPr>
        <w:t xml:space="preserve"> </w:t>
      </w:r>
    </w:p>
    <w:p w:rsidR="00A56C80" w:rsidRDefault="00802DA6" w:rsidP="00802DA6">
      <w:pPr>
        <w:ind w:firstLine="708"/>
        <w:jc w:val="both"/>
        <w:rPr>
          <w:sz w:val="24"/>
          <w:szCs w:val="24"/>
          <w:lang w:val="en-US"/>
        </w:rPr>
      </w:pPr>
      <w:r>
        <w:rPr>
          <w:sz w:val="24"/>
          <w:szCs w:val="24"/>
          <w:lang w:val="en-US"/>
        </w:rPr>
        <w:t xml:space="preserve">This is emphatically not to deny </w:t>
      </w:r>
      <w:r w:rsidR="00917BBB">
        <w:rPr>
          <w:sz w:val="24"/>
          <w:szCs w:val="24"/>
          <w:lang w:val="en-US"/>
        </w:rPr>
        <w:t xml:space="preserve">the existence </w:t>
      </w:r>
      <w:r w:rsidR="00313E80">
        <w:rPr>
          <w:sz w:val="24"/>
          <w:szCs w:val="24"/>
          <w:lang w:val="en-US"/>
        </w:rPr>
        <w:t>of delegated management in Brazil</w:t>
      </w:r>
      <w:r>
        <w:rPr>
          <w:sz w:val="24"/>
          <w:szCs w:val="24"/>
          <w:lang w:val="en-US"/>
        </w:rPr>
        <w:t xml:space="preserve">. </w:t>
      </w:r>
      <w:r w:rsidR="00313E80">
        <w:rPr>
          <w:sz w:val="24"/>
          <w:szCs w:val="24"/>
          <w:lang w:val="en-US"/>
        </w:rPr>
        <w:t>The difference is more subtle and one of degree</w:t>
      </w:r>
      <w:r w:rsidR="00423F37">
        <w:rPr>
          <w:sz w:val="24"/>
          <w:szCs w:val="24"/>
          <w:lang w:val="en-US"/>
        </w:rPr>
        <w:t>, though critical in assessing</w:t>
      </w:r>
      <w:r>
        <w:rPr>
          <w:sz w:val="24"/>
          <w:szCs w:val="24"/>
          <w:lang w:val="en-US"/>
        </w:rPr>
        <w:t xml:space="preserve"> the degree of “</w:t>
      </w:r>
      <w:proofErr w:type="spellStart"/>
      <w:r>
        <w:rPr>
          <w:sz w:val="24"/>
          <w:szCs w:val="24"/>
          <w:lang w:val="en-US"/>
        </w:rPr>
        <w:t>corporateness</w:t>
      </w:r>
      <w:proofErr w:type="spellEnd"/>
      <w:r>
        <w:rPr>
          <w:sz w:val="24"/>
          <w:szCs w:val="24"/>
          <w:lang w:val="en-US"/>
        </w:rPr>
        <w:t xml:space="preserve">” enjoyed by the organization. </w:t>
      </w:r>
    </w:p>
    <w:p w:rsidR="00A56C80" w:rsidRDefault="00A56C80" w:rsidP="00260800">
      <w:pPr>
        <w:jc w:val="both"/>
        <w:rPr>
          <w:sz w:val="24"/>
          <w:szCs w:val="24"/>
          <w:lang w:val="en-US"/>
        </w:rPr>
      </w:pPr>
      <w:r>
        <w:rPr>
          <w:sz w:val="24"/>
          <w:szCs w:val="24"/>
          <w:lang w:val="en-US"/>
        </w:rPr>
        <w:t>D.</w:t>
      </w:r>
      <w:r>
        <w:rPr>
          <w:sz w:val="24"/>
          <w:szCs w:val="24"/>
          <w:lang w:val="en-US"/>
        </w:rPr>
        <w:tab/>
        <w:t xml:space="preserve">Transferable shares </w:t>
      </w:r>
    </w:p>
    <w:p w:rsidR="009B0549" w:rsidRDefault="00A56C80" w:rsidP="00260800">
      <w:pPr>
        <w:jc w:val="both"/>
        <w:rPr>
          <w:sz w:val="24"/>
          <w:szCs w:val="24"/>
          <w:lang w:val="en-US"/>
        </w:rPr>
      </w:pPr>
      <w:r>
        <w:rPr>
          <w:sz w:val="24"/>
          <w:szCs w:val="24"/>
          <w:lang w:val="en-US"/>
        </w:rPr>
        <w:tab/>
        <w:t xml:space="preserve">The fourth element of the corporate form is transferable shares. In contrast to </w:t>
      </w:r>
      <w:r w:rsidR="00173C3B">
        <w:rPr>
          <w:sz w:val="24"/>
          <w:szCs w:val="24"/>
          <w:lang w:val="en-US"/>
        </w:rPr>
        <w:t>the other core attributes of the business corporation</w:t>
      </w:r>
      <w:r>
        <w:rPr>
          <w:sz w:val="24"/>
          <w:szCs w:val="24"/>
          <w:lang w:val="en-US"/>
        </w:rPr>
        <w:t xml:space="preserve">, </w:t>
      </w:r>
      <w:r w:rsidR="009B0549">
        <w:rPr>
          <w:sz w:val="24"/>
          <w:szCs w:val="24"/>
          <w:lang w:val="en-US"/>
        </w:rPr>
        <w:t xml:space="preserve">the mitigation of this element under Brazilian law is </w:t>
      </w:r>
      <w:r w:rsidR="00A62025">
        <w:rPr>
          <w:sz w:val="24"/>
          <w:szCs w:val="24"/>
          <w:lang w:val="en-US"/>
        </w:rPr>
        <w:t xml:space="preserve">less evident and </w:t>
      </w:r>
      <w:r w:rsidR="009B0549">
        <w:rPr>
          <w:sz w:val="24"/>
          <w:szCs w:val="24"/>
          <w:lang w:val="en-US"/>
        </w:rPr>
        <w:t xml:space="preserve">more nuanced. It is not </w:t>
      </w:r>
      <w:r w:rsidR="00E171E0">
        <w:rPr>
          <w:sz w:val="24"/>
          <w:szCs w:val="24"/>
          <w:lang w:val="en-US"/>
        </w:rPr>
        <w:t>so much that Bra</w:t>
      </w:r>
      <w:r w:rsidR="00DD3317">
        <w:rPr>
          <w:sz w:val="24"/>
          <w:szCs w:val="24"/>
          <w:lang w:val="en-US"/>
        </w:rPr>
        <w:t xml:space="preserve">zilian law unusually restricts transferability of shares, though certain limitations apply. Instead, the most important limitations to transferability come from legal rules governing control transfers and the </w:t>
      </w:r>
      <w:r w:rsidR="005F599F">
        <w:rPr>
          <w:sz w:val="24"/>
          <w:szCs w:val="24"/>
          <w:lang w:val="en-US"/>
        </w:rPr>
        <w:t>depletion of</w:t>
      </w:r>
      <w:r w:rsidR="00DD3317">
        <w:rPr>
          <w:sz w:val="24"/>
          <w:szCs w:val="24"/>
          <w:lang w:val="en-US"/>
        </w:rPr>
        <w:t xml:space="preserve"> limited liability. </w:t>
      </w:r>
    </w:p>
    <w:p w:rsidR="00CA7217" w:rsidRDefault="00A56C80" w:rsidP="00531755">
      <w:pPr>
        <w:ind w:firstLine="708"/>
        <w:jc w:val="both"/>
        <w:rPr>
          <w:sz w:val="24"/>
          <w:szCs w:val="24"/>
          <w:lang w:val="en-US"/>
        </w:rPr>
      </w:pPr>
      <w:r>
        <w:rPr>
          <w:sz w:val="24"/>
          <w:szCs w:val="24"/>
          <w:lang w:val="en-US"/>
        </w:rPr>
        <w:t xml:space="preserve">The </w:t>
      </w:r>
      <w:r w:rsidR="008632F4">
        <w:rPr>
          <w:sz w:val="24"/>
          <w:szCs w:val="24"/>
          <w:lang w:val="en-US"/>
        </w:rPr>
        <w:t>general rule under Brazilian law is that close corporations ma</w:t>
      </w:r>
      <w:r w:rsidR="00C11510">
        <w:rPr>
          <w:sz w:val="24"/>
          <w:szCs w:val="24"/>
          <w:lang w:val="en-US"/>
        </w:rPr>
        <w:t>y</w:t>
      </w:r>
      <w:r w:rsidR="008632F4">
        <w:rPr>
          <w:sz w:val="24"/>
          <w:szCs w:val="24"/>
          <w:lang w:val="en-US"/>
        </w:rPr>
        <w:t xml:space="preserve"> </w:t>
      </w:r>
      <w:r>
        <w:rPr>
          <w:sz w:val="24"/>
          <w:szCs w:val="24"/>
          <w:lang w:val="en-US"/>
        </w:rPr>
        <w:t>impose restrictions on the transferability of shares by charter provision, “provided that these limitations do not prevent their tradability nor subject the shareholder to the discretion of management bodies or the shareholder majority.”</w:t>
      </w:r>
      <w:r>
        <w:rPr>
          <w:rStyle w:val="Refdenotaderodap"/>
          <w:sz w:val="24"/>
          <w:szCs w:val="24"/>
          <w:lang w:val="en-US"/>
        </w:rPr>
        <w:footnoteReference w:id="173"/>
      </w:r>
      <w:r>
        <w:rPr>
          <w:sz w:val="24"/>
          <w:szCs w:val="24"/>
          <w:lang w:val="en-US"/>
        </w:rPr>
        <w:t xml:space="preserve"> Restrictions on the </w:t>
      </w:r>
      <w:r>
        <w:rPr>
          <w:sz w:val="24"/>
          <w:szCs w:val="24"/>
          <w:lang w:val="en-US"/>
        </w:rPr>
        <w:lastRenderedPageBreak/>
        <w:t>transferability of shares imposed by</w:t>
      </w:r>
      <w:r w:rsidR="00B42203">
        <w:rPr>
          <w:sz w:val="24"/>
          <w:szCs w:val="24"/>
          <w:lang w:val="en-US"/>
        </w:rPr>
        <w:t xml:space="preserve"> subsequent</w:t>
      </w:r>
      <w:r>
        <w:rPr>
          <w:sz w:val="24"/>
          <w:szCs w:val="24"/>
          <w:lang w:val="en-US"/>
        </w:rPr>
        <w:t xml:space="preserve"> charter amendment </w:t>
      </w:r>
      <w:r w:rsidR="005578B9">
        <w:rPr>
          <w:sz w:val="24"/>
          <w:szCs w:val="24"/>
          <w:lang w:val="en-US"/>
        </w:rPr>
        <w:t>do not bind non-consenting shareholders.</w:t>
      </w:r>
      <w:r>
        <w:rPr>
          <w:rStyle w:val="Refdenotaderodap"/>
          <w:sz w:val="24"/>
          <w:szCs w:val="24"/>
          <w:lang w:val="en-US"/>
        </w:rPr>
        <w:footnoteReference w:id="174"/>
      </w:r>
      <w:r w:rsidR="00CA7217">
        <w:rPr>
          <w:sz w:val="24"/>
          <w:szCs w:val="24"/>
          <w:lang w:val="en-US"/>
        </w:rPr>
        <w:t xml:space="preserve"> So far, there is nothing striking about Brazilian law, since t</w:t>
      </w:r>
      <w:r w:rsidR="00AE0F3A">
        <w:rPr>
          <w:sz w:val="24"/>
          <w:szCs w:val="24"/>
          <w:lang w:val="en-US"/>
        </w:rPr>
        <w:t xml:space="preserve">he imposition of restrictions on share transfers in close corporations is </w:t>
      </w:r>
      <w:r w:rsidR="00CA7217">
        <w:rPr>
          <w:sz w:val="24"/>
          <w:szCs w:val="24"/>
          <w:lang w:val="en-US"/>
        </w:rPr>
        <w:t xml:space="preserve">prevalent </w:t>
      </w:r>
      <w:r w:rsidR="00AE0F3A">
        <w:rPr>
          <w:sz w:val="24"/>
          <w:szCs w:val="24"/>
          <w:lang w:val="en-US"/>
        </w:rPr>
        <w:t>from a comparative perspective.</w:t>
      </w:r>
      <w:r w:rsidR="00A460F5">
        <w:rPr>
          <w:rStyle w:val="Refdenotaderodap"/>
          <w:sz w:val="24"/>
          <w:szCs w:val="24"/>
          <w:lang w:val="en-US"/>
        </w:rPr>
        <w:footnoteReference w:id="175"/>
      </w:r>
      <w:r w:rsidR="00AE0F3A">
        <w:rPr>
          <w:sz w:val="24"/>
          <w:szCs w:val="24"/>
          <w:lang w:val="en-US"/>
        </w:rPr>
        <w:t xml:space="preserve"> </w:t>
      </w:r>
    </w:p>
    <w:p w:rsidR="00B42203" w:rsidRDefault="00A56C80" w:rsidP="00260800">
      <w:pPr>
        <w:jc w:val="both"/>
        <w:rPr>
          <w:sz w:val="24"/>
          <w:szCs w:val="24"/>
          <w:lang w:val="en-US"/>
        </w:rPr>
      </w:pPr>
      <w:r>
        <w:rPr>
          <w:sz w:val="24"/>
          <w:szCs w:val="24"/>
          <w:lang w:val="en-US"/>
        </w:rPr>
        <w:tab/>
        <w:t xml:space="preserve"> If the legal restrictions on share transferability </w:t>
      </w:r>
      <w:r w:rsidR="00531755">
        <w:rPr>
          <w:sz w:val="24"/>
          <w:szCs w:val="24"/>
          <w:lang w:val="en-US"/>
        </w:rPr>
        <w:t>look</w:t>
      </w:r>
      <w:r>
        <w:rPr>
          <w:sz w:val="24"/>
          <w:szCs w:val="24"/>
          <w:lang w:val="en-US"/>
        </w:rPr>
        <w:t xml:space="preserve"> </w:t>
      </w:r>
      <w:r w:rsidR="00B42203">
        <w:rPr>
          <w:sz w:val="24"/>
          <w:szCs w:val="24"/>
          <w:lang w:val="en-US"/>
        </w:rPr>
        <w:t>relatively modest</w:t>
      </w:r>
      <w:r>
        <w:rPr>
          <w:sz w:val="24"/>
          <w:szCs w:val="24"/>
          <w:lang w:val="en-US"/>
        </w:rPr>
        <w:t xml:space="preserve">, the practical restrictions can be significant. In Brazil, as elsewhere, there is usually no liquid market (or even no market at all) for minority shares in close corporations. Moreover, </w:t>
      </w:r>
      <w:r w:rsidR="005322B9">
        <w:rPr>
          <w:sz w:val="24"/>
          <w:szCs w:val="24"/>
          <w:lang w:val="en-US"/>
        </w:rPr>
        <w:t xml:space="preserve">Brazil has a </w:t>
      </w:r>
      <w:r w:rsidR="00C62D88">
        <w:rPr>
          <w:sz w:val="24"/>
          <w:szCs w:val="24"/>
          <w:lang w:val="en-US"/>
        </w:rPr>
        <w:t xml:space="preserve">particularly </w:t>
      </w:r>
      <w:r w:rsidR="005322B9">
        <w:rPr>
          <w:sz w:val="24"/>
          <w:szCs w:val="24"/>
          <w:lang w:val="en-US"/>
        </w:rPr>
        <w:t xml:space="preserve">large number of formally </w:t>
      </w:r>
      <w:r w:rsidR="00C62D88">
        <w:rPr>
          <w:sz w:val="24"/>
          <w:szCs w:val="24"/>
          <w:lang w:val="en-US"/>
        </w:rPr>
        <w:t>listed</w:t>
      </w:r>
      <w:r w:rsidR="005322B9">
        <w:rPr>
          <w:sz w:val="24"/>
          <w:szCs w:val="24"/>
          <w:lang w:val="en-US"/>
        </w:rPr>
        <w:t xml:space="preserve"> companies whose shares </w:t>
      </w:r>
      <w:proofErr w:type="gramStart"/>
      <w:r w:rsidR="00E5468B">
        <w:rPr>
          <w:sz w:val="24"/>
          <w:szCs w:val="24"/>
          <w:lang w:val="en-US"/>
        </w:rPr>
        <w:t>are seldom traded</w:t>
      </w:r>
      <w:proofErr w:type="gramEnd"/>
      <w:r w:rsidR="00E5468B">
        <w:rPr>
          <w:sz w:val="24"/>
          <w:szCs w:val="24"/>
          <w:lang w:val="en-US"/>
        </w:rPr>
        <w:t xml:space="preserve"> and lack liquidity</w:t>
      </w:r>
      <w:r w:rsidR="005322B9">
        <w:rPr>
          <w:sz w:val="24"/>
          <w:szCs w:val="24"/>
          <w:lang w:val="en-US"/>
        </w:rPr>
        <w:t>, thereby</w:t>
      </w:r>
      <w:r>
        <w:rPr>
          <w:sz w:val="24"/>
          <w:szCs w:val="24"/>
          <w:lang w:val="en-US"/>
        </w:rPr>
        <w:t xml:space="preserve"> reducing the</w:t>
      </w:r>
      <w:r w:rsidR="00E5468B">
        <w:rPr>
          <w:sz w:val="24"/>
          <w:szCs w:val="24"/>
          <w:lang w:val="en-US"/>
        </w:rPr>
        <w:t xml:space="preserve"> practical</w:t>
      </w:r>
      <w:r>
        <w:rPr>
          <w:sz w:val="24"/>
          <w:szCs w:val="24"/>
          <w:lang w:val="en-US"/>
        </w:rPr>
        <w:t xml:space="preserve"> benefits of free transferability.</w:t>
      </w:r>
      <w:r w:rsidR="005322B9">
        <w:rPr>
          <w:rStyle w:val="Refdenotaderodap"/>
          <w:sz w:val="24"/>
          <w:szCs w:val="24"/>
          <w:lang w:val="en-US"/>
        </w:rPr>
        <w:footnoteReference w:id="176"/>
      </w:r>
      <w:r>
        <w:rPr>
          <w:sz w:val="24"/>
          <w:szCs w:val="24"/>
          <w:lang w:val="en-US"/>
        </w:rPr>
        <w:t xml:space="preserve"> </w:t>
      </w:r>
    </w:p>
    <w:p w:rsidR="009B630B" w:rsidRDefault="00B42203" w:rsidP="00B42203">
      <w:pPr>
        <w:ind w:firstLine="708"/>
        <w:jc w:val="both"/>
        <w:rPr>
          <w:sz w:val="24"/>
          <w:szCs w:val="24"/>
          <w:lang w:val="en-US"/>
        </w:rPr>
      </w:pPr>
      <w:r>
        <w:rPr>
          <w:sz w:val="24"/>
          <w:szCs w:val="24"/>
          <w:lang w:val="en-US"/>
        </w:rPr>
        <w:t xml:space="preserve">Another obstacle </w:t>
      </w:r>
      <w:r w:rsidR="00A56C80">
        <w:rPr>
          <w:sz w:val="24"/>
          <w:szCs w:val="24"/>
          <w:lang w:val="en-US"/>
        </w:rPr>
        <w:t xml:space="preserve">to transferability in </w:t>
      </w:r>
      <w:r w:rsidR="000F2F44">
        <w:rPr>
          <w:sz w:val="24"/>
          <w:szCs w:val="24"/>
          <w:lang w:val="en-US"/>
        </w:rPr>
        <w:t>public companies</w:t>
      </w:r>
      <w:r w:rsidR="00A56C80">
        <w:rPr>
          <w:sz w:val="24"/>
          <w:szCs w:val="24"/>
          <w:lang w:val="en-US"/>
        </w:rPr>
        <w:t xml:space="preserve"> comes from its mandatory bid rule</w:t>
      </w:r>
      <w:r w:rsidR="001F1022">
        <w:rPr>
          <w:sz w:val="24"/>
          <w:szCs w:val="24"/>
          <w:lang w:val="en-US"/>
        </w:rPr>
        <w:t xml:space="preserve"> imposed by law</w:t>
      </w:r>
      <w:r w:rsidR="00A56C80">
        <w:rPr>
          <w:sz w:val="24"/>
          <w:szCs w:val="24"/>
          <w:lang w:val="en-US"/>
        </w:rPr>
        <w:t xml:space="preserve"> (</w:t>
      </w:r>
      <w:r w:rsidR="000F2F44">
        <w:rPr>
          <w:sz w:val="24"/>
          <w:szCs w:val="24"/>
          <w:lang w:val="en-US"/>
        </w:rPr>
        <w:t>known in Brazil as</w:t>
      </w:r>
      <w:r w:rsidR="00A56C80">
        <w:rPr>
          <w:sz w:val="24"/>
          <w:szCs w:val="24"/>
          <w:lang w:val="en-US"/>
        </w:rPr>
        <w:t xml:space="preserve"> “tag-along rights”)</w:t>
      </w:r>
      <w:r>
        <w:rPr>
          <w:sz w:val="24"/>
          <w:szCs w:val="24"/>
          <w:lang w:val="en-US"/>
        </w:rPr>
        <w:t xml:space="preserve"> and from Brazilian</w:t>
      </w:r>
      <w:r w:rsidR="00F162B9">
        <w:rPr>
          <w:sz w:val="24"/>
          <w:szCs w:val="24"/>
          <w:lang w:val="en-US"/>
        </w:rPr>
        <w:t>-style</w:t>
      </w:r>
      <w:r>
        <w:rPr>
          <w:sz w:val="24"/>
          <w:szCs w:val="24"/>
          <w:lang w:val="en-US"/>
        </w:rPr>
        <w:t xml:space="preserve"> “poison pills.” The mandatory bid rule requires the party acquiring control to offer to buy out the remaining shares</w:t>
      </w:r>
      <w:r w:rsidR="004C68E8">
        <w:rPr>
          <w:sz w:val="24"/>
          <w:szCs w:val="24"/>
          <w:lang w:val="en-US"/>
        </w:rPr>
        <w:t xml:space="preserve">. According to the LSA, the mandatory bid rule </w:t>
      </w:r>
      <w:r w:rsidR="0089729A">
        <w:rPr>
          <w:sz w:val="24"/>
          <w:szCs w:val="24"/>
          <w:lang w:val="en-US"/>
        </w:rPr>
        <w:t>applies only to common shares</w:t>
      </w:r>
      <w:r w:rsidR="004C68E8">
        <w:rPr>
          <w:sz w:val="24"/>
          <w:szCs w:val="24"/>
          <w:lang w:val="en-US"/>
        </w:rPr>
        <w:t xml:space="preserve"> and requires the payment of at least 80% of the price paid to controlling shareholders.</w:t>
      </w:r>
      <w:r w:rsidR="00884E35">
        <w:rPr>
          <w:rStyle w:val="Refdenotaderodap"/>
          <w:sz w:val="24"/>
          <w:szCs w:val="24"/>
          <w:lang w:val="en-US"/>
        </w:rPr>
        <w:footnoteReference w:id="177"/>
      </w:r>
      <w:r w:rsidR="004C68E8">
        <w:rPr>
          <w:sz w:val="24"/>
          <w:szCs w:val="24"/>
          <w:lang w:val="en-US"/>
        </w:rPr>
        <w:t xml:space="preserve"> The premium stock exchange listing standards, such as Novo Mercado and Level 2, </w:t>
      </w:r>
      <w:r w:rsidR="00B62D9D">
        <w:rPr>
          <w:sz w:val="24"/>
          <w:szCs w:val="24"/>
          <w:lang w:val="en-US"/>
        </w:rPr>
        <w:t>go beyond the statutory minimum to</w:t>
      </w:r>
      <w:r w:rsidR="004C68E8">
        <w:rPr>
          <w:sz w:val="24"/>
          <w:szCs w:val="24"/>
          <w:lang w:val="en-US"/>
        </w:rPr>
        <w:t xml:space="preserve"> impose the payment of the same price received by controlling shareholders</w:t>
      </w:r>
      <w:r w:rsidR="0015281D">
        <w:rPr>
          <w:sz w:val="24"/>
          <w:szCs w:val="24"/>
          <w:lang w:val="en-US"/>
        </w:rPr>
        <w:t xml:space="preserve"> to all minority shareholders</w:t>
      </w:r>
      <w:r w:rsidR="004C68E8">
        <w:rPr>
          <w:sz w:val="24"/>
          <w:szCs w:val="24"/>
          <w:lang w:val="en-US"/>
        </w:rPr>
        <w:t xml:space="preserve">. </w:t>
      </w:r>
      <w:r w:rsidR="0015281D">
        <w:rPr>
          <w:sz w:val="24"/>
          <w:szCs w:val="24"/>
          <w:lang w:val="en-US"/>
        </w:rPr>
        <w:t xml:space="preserve">However, the </w:t>
      </w:r>
      <w:r w:rsidR="00ED657B">
        <w:rPr>
          <w:sz w:val="24"/>
          <w:szCs w:val="24"/>
          <w:lang w:val="en-US"/>
        </w:rPr>
        <w:t>mandatory bid rule</w:t>
      </w:r>
      <w:r w:rsidR="0015281D">
        <w:rPr>
          <w:sz w:val="24"/>
          <w:szCs w:val="24"/>
          <w:lang w:val="en-US"/>
        </w:rPr>
        <w:t xml:space="preserve"> famously</w:t>
      </w:r>
      <w:r w:rsidR="00F31271">
        <w:rPr>
          <w:sz w:val="24"/>
          <w:szCs w:val="24"/>
          <w:lang w:val="en-US"/>
        </w:rPr>
        <w:t xml:space="preserve"> </w:t>
      </w:r>
      <w:r w:rsidR="00C62D88">
        <w:rPr>
          <w:sz w:val="24"/>
          <w:szCs w:val="24"/>
          <w:lang w:val="en-US"/>
        </w:rPr>
        <w:t>discourages</w:t>
      </w:r>
      <w:r w:rsidR="008F32F4">
        <w:rPr>
          <w:sz w:val="24"/>
          <w:szCs w:val="24"/>
          <w:lang w:val="en-US"/>
        </w:rPr>
        <w:t xml:space="preserve"> both efficient and inefficient control transfers</w:t>
      </w:r>
      <w:r w:rsidR="00ED657B">
        <w:rPr>
          <w:sz w:val="24"/>
          <w:szCs w:val="24"/>
          <w:lang w:val="en-US"/>
        </w:rPr>
        <w:t>.</w:t>
      </w:r>
      <w:r w:rsidR="008F32F4">
        <w:rPr>
          <w:rStyle w:val="Refdenotaderodap"/>
          <w:sz w:val="24"/>
          <w:szCs w:val="24"/>
          <w:lang w:val="en-US"/>
        </w:rPr>
        <w:footnoteReference w:id="178"/>
      </w:r>
      <w:r w:rsidR="00ED657B">
        <w:rPr>
          <w:sz w:val="24"/>
          <w:szCs w:val="24"/>
          <w:lang w:val="en-US"/>
        </w:rPr>
        <w:t xml:space="preserve"> </w:t>
      </w:r>
    </w:p>
    <w:p w:rsidR="004C68E8" w:rsidRDefault="008F32F4" w:rsidP="00B42203">
      <w:pPr>
        <w:ind w:firstLine="708"/>
        <w:jc w:val="both"/>
        <w:rPr>
          <w:sz w:val="24"/>
          <w:szCs w:val="24"/>
          <w:lang w:val="en-US"/>
        </w:rPr>
      </w:pPr>
      <w:r>
        <w:rPr>
          <w:sz w:val="24"/>
          <w:szCs w:val="24"/>
          <w:lang w:val="en-US"/>
        </w:rPr>
        <w:t xml:space="preserve">This </w:t>
      </w:r>
      <w:r w:rsidR="0061292F">
        <w:rPr>
          <w:sz w:val="24"/>
          <w:szCs w:val="24"/>
          <w:lang w:val="en-US"/>
        </w:rPr>
        <w:t xml:space="preserve">deterrent </w:t>
      </w:r>
      <w:r>
        <w:rPr>
          <w:sz w:val="24"/>
          <w:szCs w:val="24"/>
          <w:lang w:val="en-US"/>
        </w:rPr>
        <w:t>effect, however, is</w:t>
      </w:r>
      <w:r w:rsidR="00B62D9D">
        <w:rPr>
          <w:sz w:val="24"/>
          <w:szCs w:val="24"/>
          <w:lang w:val="en-US"/>
        </w:rPr>
        <w:t xml:space="preserve"> likely</w:t>
      </w:r>
      <w:r>
        <w:rPr>
          <w:sz w:val="24"/>
          <w:szCs w:val="24"/>
          <w:lang w:val="en-US"/>
        </w:rPr>
        <w:t xml:space="preserve"> greater in Brazil.</w:t>
      </w:r>
      <w:r w:rsidR="00007FD6">
        <w:rPr>
          <w:sz w:val="24"/>
          <w:szCs w:val="24"/>
          <w:lang w:val="en-US"/>
        </w:rPr>
        <w:t xml:space="preserve"> According to the influential study by </w:t>
      </w:r>
      <w:proofErr w:type="spellStart"/>
      <w:r w:rsidR="00007FD6">
        <w:rPr>
          <w:sz w:val="24"/>
          <w:szCs w:val="24"/>
          <w:lang w:val="en-US"/>
        </w:rPr>
        <w:t>Dyck</w:t>
      </w:r>
      <w:proofErr w:type="spellEnd"/>
      <w:r w:rsidR="00007FD6">
        <w:rPr>
          <w:sz w:val="24"/>
          <w:szCs w:val="24"/>
          <w:lang w:val="en-US"/>
        </w:rPr>
        <w:t xml:space="preserve"> and </w:t>
      </w:r>
      <w:proofErr w:type="spellStart"/>
      <w:r w:rsidR="00007FD6">
        <w:rPr>
          <w:sz w:val="24"/>
          <w:szCs w:val="24"/>
          <w:lang w:val="en-US"/>
        </w:rPr>
        <w:t>Zingales</w:t>
      </w:r>
      <w:proofErr w:type="spellEnd"/>
      <w:r w:rsidR="00007FD6">
        <w:rPr>
          <w:sz w:val="24"/>
          <w:szCs w:val="24"/>
          <w:lang w:val="en-US"/>
        </w:rPr>
        <w:t xml:space="preserve">, Brazil had </w:t>
      </w:r>
      <w:r w:rsidR="009F7318">
        <w:rPr>
          <w:sz w:val="24"/>
          <w:szCs w:val="24"/>
          <w:lang w:val="en-US"/>
        </w:rPr>
        <w:t xml:space="preserve">by far </w:t>
      </w:r>
      <w:r w:rsidR="00007FD6">
        <w:rPr>
          <w:sz w:val="24"/>
          <w:szCs w:val="24"/>
          <w:lang w:val="en-US"/>
        </w:rPr>
        <w:t>the highest levels of privat</w:t>
      </w:r>
      <w:r w:rsidR="009F7318">
        <w:rPr>
          <w:sz w:val="24"/>
          <w:szCs w:val="24"/>
          <w:lang w:val="en-US"/>
        </w:rPr>
        <w:t>e benefits of control among their sample of 39 countries during the 1990s.</w:t>
      </w:r>
      <w:bookmarkStart w:id="33" w:name="_Ref455649313"/>
      <w:r w:rsidR="009F7318">
        <w:rPr>
          <w:rStyle w:val="Refdenotaderodap"/>
          <w:sz w:val="24"/>
          <w:szCs w:val="24"/>
          <w:lang w:val="en-US"/>
        </w:rPr>
        <w:footnoteReference w:id="179"/>
      </w:r>
      <w:bookmarkEnd w:id="33"/>
      <w:r w:rsidR="009F7318">
        <w:rPr>
          <w:sz w:val="24"/>
          <w:szCs w:val="24"/>
          <w:lang w:val="en-US"/>
        </w:rPr>
        <w:t xml:space="preserve"> There is evidence that, despite recent improvements in investor protection, these levels remain high.</w:t>
      </w:r>
      <w:bookmarkStart w:id="34" w:name="_Ref455649319"/>
      <w:r w:rsidR="009F7318">
        <w:rPr>
          <w:rStyle w:val="Refdenotaderodap"/>
          <w:sz w:val="24"/>
          <w:szCs w:val="24"/>
          <w:lang w:val="en-US"/>
        </w:rPr>
        <w:footnoteReference w:id="180"/>
      </w:r>
      <w:bookmarkEnd w:id="34"/>
      <w:r w:rsidR="009F7318">
        <w:rPr>
          <w:sz w:val="24"/>
          <w:szCs w:val="24"/>
          <w:lang w:val="en-US"/>
        </w:rPr>
        <w:t xml:space="preserve"> </w:t>
      </w:r>
      <w:r w:rsidR="000B341C">
        <w:rPr>
          <w:sz w:val="24"/>
          <w:szCs w:val="24"/>
          <w:lang w:val="en-US"/>
        </w:rPr>
        <w:t xml:space="preserve">High private benefits of control mean that </w:t>
      </w:r>
      <w:r w:rsidR="000A36B9">
        <w:rPr>
          <w:sz w:val="24"/>
          <w:szCs w:val="24"/>
          <w:lang w:val="en-US"/>
        </w:rPr>
        <w:t>controlling shares</w:t>
      </w:r>
      <w:r w:rsidR="000B341C">
        <w:rPr>
          <w:sz w:val="24"/>
          <w:szCs w:val="24"/>
          <w:lang w:val="en-US"/>
        </w:rPr>
        <w:t xml:space="preserve"> are </w:t>
      </w:r>
      <w:r w:rsidR="000A36B9">
        <w:rPr>
          <w:sz w:val="24"/>
          <w:szCs w:val="24"/>
          <w:lang w:val="en-US"/>
        </w:rPr>
        <w:t>disproportionately</w:t>
      </w:r>
      <w:r w:rsidR="000B341C">
        <w:rPr>
          <w:sz w:val="24"/>
          <w:szCs w:val="24"/>
          <w:lang w:val="en-US"/>
        </w:rPr>
        <w:t xml:space="preserve"> more valuable than minority shares.</w:t>
      </w:r>
      <w:r w:rsidR="000A36B9">
        <w:rPr>
          <w:sz w:val="24"/>
          <w:szCs w:val="24"/>
          <w:lang w:val="en-US"/>
        </w:rPr>
        <w:t xml:space="preserve"> By</w:t>
      </w:r>
      <w:r w:rsidR="000B341C">
        <w:rPr>
          <w:sz w:val="24"/>
          <w:szCs w:val="24"/>
          <w:lang w:val="en-US"/>
        </w:rPr>
        <w:t xml:space="preserve"> </w:t>
      </w:r>
      <w:r w:rsidR="000A36B9">
        <w:rPr>
          <w:sz w:val="24"/>
          <w:szCs w:val="24"/>
          <w:lang w:val="en-US"/>
        </w:rPr>
        <w:t>c</w:t>
      </w:r>
      <w:r w:rsidR="000B341C">
        <w:rPr>
          <w:sz w:val="24"/>
          <w:szCs w:val="24"/>
          <w:lang w:val="en-US"/>
        </w:rPr>
        <w:t xml:space="preserve">onditioning a control sale on the payment to </w:t>
      </w:r>
      <w:r w:rsidR="005F6927">
        <w:rPr>
          <w:sz w:val="24"/>
          <w:szCs w:val="24"/>
          <w:lang w:val="en-US"/>
        </w:rPr>
        <w:t xml:space="preserve">minority shareholders of the same or similar price paid to controlling shareholders—which presumably far exceeds what their shares are actually </w:t>
      </w:r>
      <w:r w:rsidR="000B341C">
        <w:rPr>
          <w:sz w:val="24"/>
          <w:szCs w:val="24"/>
          <w:lang w:val="en-US"/>
        </w:rPr>
        <w:t>worth</w:t>
      </w:r>
      <w:r w:rsidR="005F6927">
        <w:rPr>
          <w:sz w:val="24"/>
          <w:szCs w:val="24"/>
          <w:lang w:val="en-US"/>
        </w:rPr>
        <w:t>—</w:t>
      </w:r>
      <w:r w:rsidR="000A36B9">
        <w:rPr>
          <w:sz w:val="24"/>
          <w:szCs w:val="24"/>
          <w:lang w:val="en-US"/>
        </w:rPr>
        <w:t xml:space="preserve">, the mandatory bid rule </w:t>
      </w:r>
      <w:r w:rsidR="0015281D">
        <w:rPr>
          <w:sz w:val="24"/>
          <w:szCs w:val="24"/>
          <w:lang w:val="en-US"/>
        </w:rPr>
        <w:t>makes it inordinately expensive to acquire control of Brazilian public comp</w:t>
      </w:r>
      <w:r w:rsidR="00405F66">
        <w:rPr>
          <w:sz w:val="24"/>
          <w:szCs w:val="24"/>
          <w:lang w:val="en-US"/>
        </w:rPr>
        <w:t>anies</w:t>
      </w:r>
      <w:r w:rsidR="0015281D">
        <w:rPr>
          <w:sz w:val="24"/>
          <w:szCs w:val="24"/>
          <w:lang w:val="en-US"/>
        </w:rPr>
        <w:t>.</w:t>
      </w:r>
      <w:r w:rsidR="000A36B9">
        <w:rPr>
          <w:sz w:val="24"/>
          <w:szCs w:val="24"/>
          <w:lang w:val="en-US"/>
        </w:rPr>
        <w:t xml:space="preserve"> </w:t>
      </w:r>
    </w:p>
    <w:p w:rsidR="00902BA0" w:rsidRDefault="008E0833" w:rsidP="00B42203">
      <w:pPr>
        <w:ind w:firstLine="708"/>
        <w:jc w:val="both"/>
        <w:rPr>
          <w:sz w:val="24"/>
          <w:szCs w:val="24"/>
          <w:lang w:val="en-US"/>
        </w:rPr>
      </w:pPr>
      <w:r>
        <w:rPr>
          <w:sz w:val="24"/>
          <w:szCs w:val="24"/>
          <w:lang w:val="en-US"/>
        </w:rPr>
        <w:t xml:space="preserve">Beyond the </w:t>
      </w:r>
      <w:r w:rsidR="000A36B9">
        <w:rPr>
          <w:sz w:val="24"/>
          <w:szCs w:val="24"/>
          <w:lang w:val="en-US"/>
        </w:rPr>
        <w:t>statutory and stock exchange requirements</w:t>
      </w:r>
      <w:r>
        <w:rPr>
          <w:sz w:val="24"/>
          <w:szCs w:val="24"/>
          <w:lang w:val="en-US"/>
        </w:rPr>
        <w:t>, many Brazilian public companies have adopted more stringent mandatory bid rules th</w:t>
      </w:r>
      <w:r w:rsidR="008B226B">
        <w:rPr>
          <w:sz w:val="24"/>
          <w:szCs w:val="24"/>
          <w:lang w:val="en-US"/>
        </w:rPr>
        <w:t>r</w:t>
      </w:r>
      <w:r>
        <w:rPr>
          <w:sz w:val="24"/>
          <w:szCs w:val="24"/>
          <w:lang w:val="en-US"/>
        </w:rPr>
        <w:t xml:space="preserve">ough charter provisions—the so-called </w:t>
      </w:r>
      <w:r w:rsidR="00B42203">
        <w:rPr>
          <w:sz w:val="24"/>
          <w:szCs w:val="24"/>
          <w:lang w:val="en-US"/>
        </w:rPr>
        <w:t xml:space="preserve">Brazilian </w:t>
      </w:r>
      <w:r>
        <w:rPr>
          <w:sz w:val="24"/>
          <w:szCs w:val="24"/>
          <w:lang w:val="en-US"/>
        </w:rPr>
        <w:t>“</w:t>
      </w:r>
      <w:r w:rsidR="00B42203">
        <w:rPr>
          <w:sz w:val="24"/>
          <w:szCs w:val="24"/>
          <w:lang w:val="en-US"/>
        </w:rPr>
        <w:t>poison pills</w:t>
      </w:r>
      <w:r>
        <w:rPr>
          <w:sz w:val="24"/>
          <w:szCs w:val="24"/>
          <w:lang w:val="en-US"/>
        </w:rPr>
        <w:t xml:space="preserve">.” </w:t>
      </w:r>
      <w:r w:rsidR="000A36B9">
        <w:rPr>
          <w:sz w:val="24"/>
          <w:szCs w:val="24"/>
          <w:lang w:val="en-US"/>
        </w:rPr>
        <w:t>These provisions</w:t>
      </w:r>
      <w:r w:rsidR="00B42203">
        <w:rPr>
          <w:sz w:val="24"/>
          <w:szCs w:val="24"/>
          <w:lang w:val="en-US"/>
        </w:rPr>
        <w:t xml:space="preserve"> typically </w:t>
      </w:r>
      <w:r w:rsidR="00B5558B">
        <w:rPr>
          <w:sz w:val="24"/>
          <w:szCs w:val="24"/>
          <w:lang w:val="en-US"/>
        </w:rPr>
        <w:t xml:space="preserve">lower the </w:t>
      </w:r>
      <w:r w:rsidR="00B5558B">
        <w:rPr>
          <w:sz w:val="24"/>
          <w:szCs w:val="24"/>
          <w:lang w:val="en-US"/>
        </w:rPr>
        <w:lastRenderedPageBreak/>
        <w:t>required threshold to trigger a mandatory bid</w:t>
      </w:r>
      <w:r w:rsidR="00B42203">
        <w:rPr>
          <w:sz w:val="24"/>
          <w:szCs w:val="24"/>
          <w:lang w:val="en-US"/>
        </w:rPr>
        <w:t xml:space="preserve"> (to, say, 15 or 30% of the shares) and</w:t>
      </w:r>
      <w:r w:rsidR="000A36B9">
        <w:rPr>
          <w:sz w:val="24"/>
          <w:szCs w:val="24"/>
          <w:lang w:val="en-US"/>
        </w:rPr>
        <w:t xml:space="preserve"> at </w:t>
      </w:r>
      <w:proofErr w:type="gramStart"/>
      <w:r w:rsidR="000A36B9">
        <w:rPr>
          <w:sz w:val="24"/>
          <w:szCs w:val="24"/>
          <w:lang w:val="en-US"/>
        </w:rPr>
        <w:t>times also</w:t>
      </w:r>
      <w:proofErr w:type="gramEnd"/>
      <w:r w:rsidR="008B226B">
        <w:rPr>
          <w:sz w:val="24"/>
          <w:szCs w:val="24"/>
          <w:lang w:val="en-US"/>
        </w:rPr>
        <w:t xml:space="preserve"> </w:t>
      </w:r>
      <w:r w:rsidR="00B42203">
        <w:rPr>
          <w:sz w:val="24"/>
          <w:szCs w:val="24"/>
          <w:lang w:val="en-US"/>
        </w:rPr>
        <w:t>impose a minimum mandatory premium.</w:t>
      </w:r>
      <w:r w:rsidR="00902BA0">
        <w:rPr>
          <w:sz w:val="24"/>
          <w:szCs w:val="24"/>
          <w:lang w:val="en-US"/>
        </w:rPr>
        <w:t xml:space="preserve"> </w:t>
      </w:r>
      <w:r w:rsidR="00FD6AB3">
        <w:rPr>
          <w:sz w:val="24"/>
          <w:szCs w:val="24"/>
          <w:lang w:val="en-US"/>
        </w:rPr>
        <w:t>Like U.S. poison pills, the</w:t>
      </w:r>
      <w:r w:rsidR="000A36B9">
        <w:rPr>
          <w:sz w:val="24"/>
          <w:szCs w:val="24"/>
          <w:lang w:val="en-US"/>
        </w:rPr>
        <w:t xml:space="preserve"> primary</w:t>
      </w:r>
      <w:r w:rsidR="00FD6AB3">
        <w:rPr>
          <w:sz w:val="24"/>
          <w:szCs w:val="24"/>
          <w:lang w:val="en-US"/>
        </w:rPr>
        <w:t xml:space="preserve"> goal of these clauses is to discourage control shifts</w:t>
      </w:r>
      <w:r w:rsidR="005A2816">
        <w:rPr>
          <w:sz w:val="24"/>
          <w:szCs w:val="24"/>
          <w:lang w:val="en-US"/>
        </w:rPr>
        <w:t>.</w:t>
      </w:r>
      <w:bookmarkStart w:id="35" w:name="_Ref455650925"/>
      <w:r w:rsidR="005A2816">
        <w:rPr>
          <w:rStyle w:val="Refdenotaderodap"/>
          <w:sz w:val="24"/>
          <w:szCs w:val="24"/>
          <w:lang w:val="en-US"/>
        </w:rPr>
        <w:footnoteReference w:id="181"/>
      </w:r>
      <w:bookmarkEnd w:id="35"/>
      <w:r w:rsidR="005A2816">
        <w:rPr>
          <w:sz w:val="24"/>
          <w:szCs w:val="24"/>
          <w:lang w:val="en-US"/>
        </w:rPr>
        <w:t xml:space="preserve"> </w:t>
      </w:r>
    </w:p>
    <w:p w:rsidR="00E812C5" w:rsidRPr="00920185" w:rsidRDefault="00920185" w:rsidP="00920185">
      <w:pPr>
        <w:spacing w:before="240"/>
        <w:ind w:firstLine="708"/>
        <w:jc w:val="both"/>
        <w:rPr>
          <w:sz w:val="24"/>
          <w:szCs w:val="24"/>
          <w:lang w:val="en-US"/>
        </w:rPr>
      </w:pPr>
      <w:r>
        <w:rPr>
          <w:sz w:val="24"/>
          <w:szCs w:val="24"/>
          <w:lang w:val="en-US"/>
        </w:rPr>
        <w:t>Mixed enterprises in which the government holds a majority stake (</w:t>
      </w:r>
      <w:proofErr w:type="spellStart"/>
      <w:r>
        <w:rPr>
          <w:i/>
          <w:sz w:val="24"/>
          <w:szCs w:val="24"/>
          <w:lang w:val="en-US"/>
        </w:rPr>
        <w:t>sociedades</w:t>
      </w:r>
      <w:proofErr w:type="spellEnd"/>
      <w:r>
        <w:rPr>
          <w:i/>
          <w:sz w:val="24"/>
          <w:szCs w:val="24"/>
          <w:lang w:val="en-US"/>
        </w:rPr>
        <w:t xml:space="preserve"> de </w:t>
      </w:r>
      <w:proofErr w:type="spellStart"/>
      <w:r>
        <w:rPr>
          <w:i/>
          <w:sz w:val="24"/>
          <w:szCs w:val="24"/>
          <w:lang w:val="en-US"/>
        </w:rPr>
        <w:t>economia</w:t>
      </w:r>
      <w:proofErr w:type="spellEnd"/>
      <w:r>
        <w:rPr>
          <w:i/>
          <w:sz w:val="24"/>
          <w:szCs w:val="24"/>
          <w:lang w:val="en-US"/>
        </w:rPr>
        <w:t xml:space="preserve"> </w:t>
      </w:r>
      <w:proofErr w:type="spellStart"/>
      <w:r>
        <w:rPr>
          <w:i/>
          <w:sz w:val="24"/>
          <w:szCs w:val="24"/>
          <w:lang w:val="en-US"/>
        </w:rPr>
        <w:t>mista</w:t>
      </w:r>
      <w:proofErr w:type="spellEnd"/>
      <w:r>
        <w:rPr>
          <w:sz w:val="24"/>
          <w:szCs w:val="24"/>
          <w:lang w:val="en-US"/>
        </w:rPr>
        <w:t xml:space="preserve">) face greater legal restrictions to transferability. </w:t>
      </w:r>
      <w:proofErr w:type="gramStart"/>
      <w:r>
        <w:rPr>
          <w:sz w:val="24"/>
          <w:szCs w:val="24"/>
          <w:lang w:val="en-US"/>
        </w:rPr>
        <w:t>These entities are created by law to promote public policy and profit-making objectives,</w:t>
      </w:r>
      <w:r w:rsidR="00813AC7">
        <w:rPr>
          <w:sz w:val="24"/>
          <w:szCs w:val="24"/>
          <w:lang w:val="en-US"/>
        </w:rPr>
        <w:t xml:space="preserve"> and, as we will see below, play </w:t>
      </w:r>
      <w:r w:rsidR="000A36B9">
        <w:rPr>
          <w:sz w:val="24"/>
          <w:szCs w:val="24"/>
          <w:lang w:val="en-US"/>
        </w:rPr>
        <w:t>a major</w:t>
      </w:r>
      <w:r w:rsidR="00813AC7">
        <w:rPr>
          <w:sz w:val="24"/>
          <w:szCs w:val="24"/>
          <w:lang w:val="en-US"/>
        </w:rPr>
        <w:t xml:space="preserve"> role in Brazilian capital markets</w:t>
      </w:r>
      <w:proofErr w:type="gramEnd"/>
      <w:r w:rsidR="00813AC7">
        <w:rPr>
          <w:sz w:val="24"/>
          <w:szCs w:val="24"/>
          <w:lang w:val="en-US"/>
        </w:rPr>
        <w:t xml:space="preserve">. However, the government may not dispose of its controlling stake in these entities in the absence of statutory authorization. In fact, courts have held that </w:t>
      </w:r>
      <w:r w:rsidR="00F75FC0">
        <w:rPr>
          <w:sz w:val="24"/>
          <w:szCs w:val="24"/>
          <w:lang w:val="en-US"/>
        </w:rPr>
        <w:t>even the partial transfer</w:t>
      </w:r>
      <w:r w:rsidR="00813AC7">
        <w:rPr>
          <w:sz w:val="24"/>
          <w:szCs w:val="24"/>
          <w:lang w:val="en-US"/>
        </w:rPr>
        <w:t xml:space="preserve"> of </w:t>
      </w:r>
      <w:r w:rsidR="005E7247">
        <w:rPr>
          <w:sz w:val="24"/>
          <w:szCs w:val="24"/>
          <w:lang w:val="en-US"/>
        </w:rPr>
        <w:t>certain decision (veto)</w:t>
      </w:r>
      <w:r w:rsidR="00813AC7">
        <w:rPr>
          <w:sz w:val="24"/>
          <w:szCs w:val="24"/>
          <w:lang w:val="en-US"/>
        </w:rPr>
        <w:t xml:space="preserve"> rights to private shareholders by means of a shareholders’ agreement run afoul of the government’s authority.</w:t>
      </w:r>
      <w:r w:rsidR="00813AC7">
        <w:rPr>
          <w:rStyle w:val="Refdenotaderodap"/>
          <w:sz w:val="24"/>
          <w:szCs w:val="24"/>
          <w:lang w:val="en-US"/>
        </w:rPr>
        <w:footnoteReference w:id="182"/>
      </w:r>
      <w:r w:rsidR="00813AC7">
        <w:rPr>
          <w:sz w:val="24"/>
          <w:szCs w:val="24"/>
          <w:lang w:val="en-US"/>
        </w:rPr>
        <w:t xml:space="preserve"> </w:t>
      </w:r>
    </w:p>
    <w:p w:rsidR="00F0746E" w:rsidRDefault="000960FF" w:rsidP="00B42203">
      <w:pPr>
        <w:ind w:firstLine="708"/>
        <w:jc w:val="both"/>
        <w:rPr>
          <w:sz w:val="24"/>
          <w:szCs w:val="24"/>
          <w:lang w:val="en-US"/>
        </w:rPr>
      </w:pPr>
      <w:r>
        <w:rPr>
          <w:sz w:val="24"/>
          <w:szCs w:val="24"/>
          <w:lang w:val="en-US"/>
        </w:rPr>
        <w:t>Yet</w:t>
      </w:r>
      <w:r w:rsidR="00E812C5">
        <w:rPr>
          <w:sz w:val="24"/>
          <w:szCs w:val="24"/>
          <w:lang w:val="en-US"/>
        </w:rPr>
        <w:t xml:space="preserve"> </w:t>
      </w:r>
      <w:r w:rsidR="00D949BA">
        <w:rPr>
          <w:sz w:val="24"/>
          <w:szCs w:val="24"/>
          <w:lang w:val="en-US"/>
        </w:rPr>
        <w:t>perhaps the strongest limitation</w:t>
      </w:r>
      <w:r w:rsidR="00E812C5">
        <w:rPr>
          <w:sz w:val="24"/>
          <w:szCs w:val="24"/>
          <w:lang w:val="en-US"/>
        </w:rPr>
        <w:t xml:space="preserve"> to transferability under Brazilian law </w:t>
      </w:r>
      <w:r w:rsidR="005E7247">
        <w:rPr>
          <w:sz w:val="24"/>
          <w:szCs w:val="24"/>
          <w:lang w:val="en-US"/>
        </w:rPr>
        <w:t xml:space="preserve">does not stem from </w:t>
      </w:r>
      <w:r w:rsidR="004F1052">
        <w:rPr>
          <w:sz w:val="24"/>
          <w:szCs w:val="24"/>
          <w:lang w:val="en-US"/>
        </w:rPr>
        <w:t xml:space="preserve">outright </w:t>
      </w:r>
      <w:r w:rsidR="005E7247">
        <w:rPr>
          <w:sz w:val="24"/>
          <w:szCs w:val="24"/>
          <w:lang w:val="en-US"/>
        </w:rPr>
        <w:t xml:space="preserve">legal restrictions but rather from disincentives to </w:t>
      </w:r>
      <w:r w:rsidR="004F1052">
        <w:rPr>
          <w:sz w:val="24"/>
          <w:szCs w:val="24"/>
          <w:lang w:val="en-US"/>
        </w:rPr>
        <w:t xml:space="preserve">share transfers posed by other features of the legal regime. The </w:t>
      </w:r>
      <w:r w:rsidR="000139C2">
        <w:rPr>
          <w:sz w:val="24"/>
          <w:szCs w:val="24"/>
          <w:lang w:val="en-US"/>
        </w:rPr>
        <w:t xml:space="preserve">mitigation of limited liability, in particular, plays an important </w:t>
      </w:r>
      <w:r w:rsidR="000A36B9">
        <w:rPr>
          <w:sz w:val="24"/>
          <w:szCs w:val="24"/>
          <w:lang w:val="en-US"/>
        </w:rPr>
        <w:t>part in</w:t>
      </w:r>
      <w:r w:rsidR="000139C2">
        <w:rPr>
          <w:sz w:val="24"/>
          <w:szCs w:val="24"/>
          <w:lang w:val="en-US"/>
        </w:rPr>
        <w:t xml:space="preserve"> this respect.</w:t>
      </w:r>
      <w:r w:rsidR="00C17A75">
        <w:rPr>
          <w:sz w:val="24"/>
          <w:szCs w:val="24"/>
          <w:lang w:val="en-US"/>
        </w:rPr>
        <w:t xml:space="preserve"> </w:t>
      </w:r>
      <w:r w:rsidR="00AD3AF9">
        <w:rPr>
          <w:sz w:val="24"/>
          <w:szCs w:val="24"/>
          <w:lang w:val="en-US"/>
        </w:rPr>
        <w:t xml:space="preserve">There are </w:t>
      </w:r>
      <w:r w:rsidR="00F4237C">
        <w:rPr>
          <w:sz w:val="24"/>
          <w:szCs w:val="24"/>
          <w:lang w:val="en-US"/>
        </w:rPr>
        <w:t>numerous</w:t>
      </w:r>
      <w:r w:rsidR="00AD3AF9">
        <w:rPr>
          <w:sz w:val="24"/>
          <w:szCs w:val="24"/>
          <w:lang w:val="en-US"/>
        </w:rPr>
        <w:t xml:space="preserve"> decisions by labor courts holding former shareholders liable for corporate </w:t>
      </w:r>
      <w:r w:rsidR="00E926DF">
        <w:rPr>
          <w:sz w:val="24"/>
          <w:szCs w:val="24"/>
          <w:lang w:val="en-US"/>
        </w:rPr>
        <w:t>obligations to workers.</w:t>
      </w:r>
      <w:r w:rsidR="00EB169E">
        <w:rPr>
          <w:rStyle w:val="Refdenotaderodap"/>
          <w:sz w:val="24"/>
          <w:szCs w:val="24"/>
          <w:lang w:val="en-US"/>
        </w:rPr>
        <w:footnoteReference w:id="183"/>
      </w:r>
      <w:r w:rsidR="00E926DF">
        <w:rPr>
          <w:sz w:val="24"/>
          <w:szCs w:val="24"/>
          <w:lang w:val="en-US"/>
        </w:rPr>
        <w:t xml:space="preserve"> Various precedents </w:t>
      </w:r>
      <w:r w:rsidR="00AD3AF9">
        <w:rPr>
          <w:sz w:val="24"/>
          <w:szCs w:val="24"/>
          <w:lang w:val="en-US"/>
        </w:rPr>
        <w:t>limit the extent of liability to controlling shareholders and to former shareholders wh</w:t>
      </w:r>
      <w:r w:rsidR="000C2275">
        <w:rPr>
          <w:sz w:val="24"/>
          <w:szCs w:val="24"/>
          <w:lang w:val="en-US"/>
        </w:rPr>
        <w:t xml:space="preserve">o have withdrawn from the firm </w:t>
      </w:r>
      <w:r w:rsidR="00AD3AF9">
        <w:rPr>
          <w:sz w:val="24"/>
          <w:szCs w:val="24"/>
          <w:lang w:val="en-US"/>
        </w:rPr>
        <w:t>within two years</w:t>
      </w:r>
      <w:r w:rsidR="00C76AFA">
        <w:rPr>
          <w:sz w:val="24"/>
          <w:szCs w:val="24"/>
          <w:lang w:val="en-US"/>
        </w:rPr>
        <w:t>, as dictated by the Civil Code rule governing partnerships</w:t>
      </w:r>
      <w:r w:rsidR="00AD3AF9">
        <w:rPr>
          <w:sz w:val="24"/>
          <w:szCs w:val="24"/>
          <w:lang w:val="en-US"/>
        </w:rPr>
        <w:t>.</w:t>
      </w:r>
      <w:bookmarkStart w:id="36" w:name="_Ref455138064"/>
      <w:r w:rsidR="00C76AFA">
        <w:rPr>
          <w:rStyle w:val="Refdenotaderodap"/>
          <w:sz w:val="24"/>
          <w:szCs w:val="24"/>
          <w:lang w:val="en-US"/>
        </w:rPr>
        <w:footnoteReference w:id="184"/>
      </w:r>
      <w:bookmarkEnd w:id="36"/>
      <w:r w:rsidR="00AD3AF9">
        <w:rPr>
          <w:sz w:val="24"/>
          <w:szCs w:val="24"/>
          <w:lang w:val="en-US"/>
        </w:rPr>
        <w:t xml:space="preserve"> </w:t>
      </w:r>
      <w:r w:rsidR="00236E1D">
        <w:rPr>
          <w:sz w:val="24"/>
          <w:szCs w:val="24"/>
          <w:lang w:val="en-US"/>
        </w:rPr>
        <w:t>However,</w:t>
      </w:r>
      <w:r w:rsidR="00083401">
        <w:rPr>
          <w:sz w:val="24"/>
          <w:szCs w:val="24"/>
          <w:lang w:val="en-US"/>
        </w:rPr>
        <w:t xml:space="preserve"> at least</w:t>
      </w:r>
      <w:r w:rsidR="00236E1D">
        <w:rPr>
          <w:sz w:val="24"/>
          <w:szCs w:val="24"/>
          <w:lang w:val="en-US"/>
        </w:rPr>
        <w:t xml:space="preserve"> one </w:t>
      </w:r>
      <w:r w:rsidR="00AD3AF9">
        <w:rPr>
          <w:sz w:val="24"/>
          <w:szCs w:val="24"/>
          <w:lang w:val="en-US"/>
        </w:rPr>
        <w:t xml:space="preserve">decision confirmed by the Superior Court of Labor held that the holding voting shares, even if </w:t>
      </w:r>
      <w:r w:rsidR="00B52E28">
        <w:rPr>
          <w:sz w:val="24"/>
          <w:szCs w:val="24"/>
          <w:lang w:val="en-US"/>
        </w:rPr>
        <w:t>non-</w:t>
      </w:r>
      <w:r w:rsidR="00AD3AF9">
        <w:rPr>
          <w:sz w:val="24"/>
          <w:szCs w:val="24"/>
          <w:lang w:val="en-US"/>
        </w:rPr>
        <w:t>controlling, disqualified a former shareholder as a “mere investor,” hence resulting in his continued liability for labor obligations</w:t>
      </w:r>
      <w:r w:rsidR="00B52E28">
        <w:rPr>
          <w:sz w:val="24"/>
          <w:szCs w:val="24"/>
          <w:lang w:val="en-US"/>
        </w:rPr>
        <w:t xml:space="preserve"> irrespective </w:t>
      </w:r>
      <w:r w:rsidR="00236E1D">
        <w:rPr>
          <w:sz w:val="24"/>
          <w:szCs w:val="24"/>
          <w:lang w:val="en-US"/>
        </w:rPr>
        <w:t>of the two-year ti</w:t>
      </w:r>
      <w:r w:rsidR="00B801AC">
        <w:rPr>
          <w:sz w:val="24"/>
          <w:szCs w:val="24"/>
          <w:lang w:val="en-US"/>
        </w:rPr>
        <w:t>m</w:t>
      </w:r>
      <w:r w:rsidR="00236E1D">
        <w:rPr>
          <w:sz w:val="24"/>
          <w:szCs w:val="24"/>
          <w:lang w:val="en-US"/>
        </w:rPr>
        <w:t>e limit</w:t>
      </w:r>
      <w:r w:rsidR="00AD3AF9">
        <w:rPr>
          <w:sz w:val="24"/>
          <w:szCs w:val="24"/>
          <w:lang w:val="en-US"/>
        </w:rPr>
        <w:t>.</w:t>
      </w:r>
      <w:r w:rsidR="00C54EEE">
        <w:rPr>
          <w:rStyle w:val="Refdenotaderodap"/>
          <w:sz w:val="24"/>
          <w:szCs w:val="24"/>
          <w:lang w:val="en-US"/>
        </w:rPr>
        <w:footnoteReference w:id="185"/>
      </w:r>
      <w:r w:rsidR="00AD3AF9">
        <w:rPr>
          <w:sz w:val="24"/>
          <w:szCs w:val="24"/>
          <w:lang w:val="en-US"/>
        </w:rPr>
        <w:t xml:space="preserve"> </w:t>
      </w:r>
    </w:p>
    <w:p w:rsidR="000960FF" w:rsidRPr="00F773DD" w:rsidRDefault="00FE6A45" w:rsidP="00B42203">
      <w:pPr>
        <w:ind w:firstLine="708"/>
        <w:jc w:val="both"/>
        <w:rPr>
          <w:sz w:val="24"/>
          <w:szCs w:val="24"/>
          <w:lang w:val="en-US"/>
        </w:rPr>
      </w:pPr>
      <w:r>
        <w:rPr>
          <w:sz w:val="24"/>
          <w:szCs w:val="24"/>
          <w:lang w:val="en-US"/>
        </w:rPr>
        <w:t>Outside of</w:t>
      </w:r>
      <w:r w:rsidR="00AF08A9">
        <w:rPr>
          <w:sz w:val="24"/>
          <w:szCs w:val="24"/>
          <w:lang w:val="en-US"/>
        </w:rPr>
        <w:t xml:space="preserve"> the labor sphere, other potential liabilities of former shareholders</w:t>
      </w:r>
      <w:r w:rsidR="00B639B8">
        <w:rPr>
          <w:sz w:val="24"/>
          <w:szCs w:val="24"/>
          <w:lang w:val="en-US"/>
        </w:rPr>
        <w:t xml:space="preserve"> can</w:t>
      </w:r>
      <w:r w:rsidR="00AF08A9">
        <w:rPr>
          <w:sz w:val="24"/>
          <w:szCs w:val="24"/>
          <w:lang w:val="en-US"/>
        </w:rPr>
        <w:t xml:space="preserve"> also</w:t>
      </w:r>
      <w:r w:rsidR="00B639B8">
        <w:rPr>
          <w:sz w:val="24"/>
          <w:szCs w:val="24"/>
          <w:lang w:val="en-US"/>
        </w:rPr>
        <w:t xml:space="preserve"> hamper M&amp;A activity</w:t>
      </w:r>
      <w:r w:rsidR="00F773DD">
        <w:rPr>
          <w:sz w:val="24"/>
          <w:szCs w:val="24"/>
          <w:lang w:val="en-US"/>
        </w:rPr>
        <w:t>.</w:t>
      </w:r>
      <w:r w:rsidR="00B639B8">
        <w:rPr>
          <w:sz w:val="24"/>
          <w:szCs w:val="24"/>
          <w:lang w:val="en-US"/>
        </w:rPr>
        <w:t xml:space="preserve"> For instance,</w:t>
      </w:r>
      <w:r w:rsidR="00B0009D">
        <w:rPr>
          <w:sz w:val="24"/>
          <w:szCs w:val="24"/>
          <w:lang w:val="en-US"/>
        </w:rPr>
        <w:t xml:space="preserve"> business groups have paused before selling subsidiaries that have long-term contracts with consumers, due to fear of remaining on the hook for </w:t>
      </w:r>
      <w:r w:rsidR="00405F66">
        <w:rPr>
          <w:sz w:val="24"/>
          <w:szCs w:val="24"/>
          <w:lang w:val="en-US"/>
        </w:rPr>
        <w:t>future liabilities</w:t>
      </w:r>
      <w:r w:rsidR="002A2E3B">
        <w:rPr>
          <w:sz w:val="24"/>
          <w:szCs w:val="24"/>
          <w:lang w:val="en-US"/>
        </w:rPr>
        <w:t>.</w:t>
      </w:r>
      <w:r w:rsidR="00B0009D">
        <w:rPr>
          <w:sz w:val="24"/>
          <w:szCs w:val="24"/>
          <w:lang w:val="en-US"/>
        </w:rPr>
        <w:t xml:space="preserve"> </w:t>
      </w:r>
      <w:r w:rsidR="00F773DD">
        <w:rPr>
          <w:sz w:val="24"/>
          <w:szCs w:val="24"/>
          <w:lang w:val="en-US"/>
        </w:rPr>
        <w:t>While some</w:t>
      </w:r>
      <w:r w:rsidR="00E50D29">
        <w:rPr>
          <w:sz w:val="24"/>
          <w:szCs w:val="24"/>
          <w:lang w:val="en-US"/>
        </w:rPr>
        <w:t xml:space="preserve"> civil law</w:t>
      </w:r>
      <w:r w:rsidR="00F773DD">
        <w:rPr>
          <w:sz w:val="24"/>
          <w:szCs w:val="24"/>
          <w:lang w:val="en-US"/>
        </w:rPr>
        <w:t xml:space="preserve"> </w:t>
      </w:r>
      <w:r w:rsidR="003F2B35">
        <w:rPr>
          <w:sz w:val="24"/>
          <w:szCs w:val="24"/>
          <w:lang w:val="en-US"/>
        </w:rPr>
        <w:t>precedents</w:t>
      </w:r>
      <w:r w:rsidR="00F773DD">
        <w:rPr>
          <w:sz w:val="24"/>
          <w:szCs w:val="24"/>
          <w:lang w:val="en-US"/>
        </w:rPr>
        <w:t xml:space="preserve"> </w:t>
      </w:r>
      <w:r w:rsidR="002A2E3B">
        <w:rPr>
          <w:sz w:val="24"/>
          <w:szCs w:val="24"/>
          <w:lang w:val="en-US"/>
        </w:rPr>
        <w:t xml:space="preserve">limit the liability of former shareholders to the timeframe of two years, as </w:t>
      </w:r>
      <w:r w:rsidR="00F773DD">
        <w:rPr>
          <w:sz w:val="24"/>
          <w:szCs w:val="24"/>
          <w:lang w:val="en-US"/>
        </w:rPr>
        <w:t>presc</w:t>
      </w:r>
      <w:r w:rsidR="003F2B35">
        <w:rPr>
          <w:sz w:val="24"/>
          <w:szCs w:val="24"/>
          <w:lang w:val="en-US"/>
        </w:rPr>
        <w:t>ribed by the Civil Code,</w:t>
      </w:r>
      <w:r w:rsidR="0014788E">
        <w:rPr>
          <w:rStyle w:val="Refdenotaderodap"/>
          <w:sz w:val="24"/>
          <w:szCs w:val="24"/>
          <w:lang w:val="en-US"/>
        </w:rPr>
        <w:footnoteReference w:id="186"/>
      </w:r>
      <w:r w:rsidR="003F2B35">
        <w:rPr>
          <w:sz w:val="24"/>
          <w:szCs w:val="24"/>
          <w:lang w:val="en-US"/>
        </w:rPr>
        <w:t xml:space="preserve"> other </w:t>
      </w:r>
      <w:r w:rsidR="003F2B35">
        <w:rPr>
          <w:sz w:val="24"/>
          <w:szCs w:val="24"/>
          <w:lang w:val="en-US"/>
        </w:rPr>
        <w:lastRenderedPageBreak/>
        <w:t xml:space="preserve">decisions have ruled that </w:t>
      </w:r>
      <w:r w:rsidR="00380524">
        <w:rPr>
          <w:sz w:val="24"/>
          <w:szCs w:val="24"/>
          <w:lang w:val="en-US"/>
        </w:rPr>
        <w:t>veil piercing</w:t>
      </w:r>
      <w:r w:rsidR="003F2B35">
        <w:rPr>
          <w:sz w:val="24"/>
          <w:szCs w:val="24"/>
          <w:lang w:val="en-US"/>
        </w:rPr>
        <w:t xml:space="preserve"> to reach the assets of former shareholders is not subject to any statute of limitations.</w:t>
      </w:r>
      <w:r w:rsidR="003F2B35">
        <w:rPr>
          <w:rStyle w:val="Refdenotaderodap"/>
          <w:sz w:val="24"/>
          <w:szCs w:val="24"/>
          <w:lang w:val="en-US"/>
        </w:rPr>
        <w:footnoteReference w:id="187"/>
      </w:r>
      <w:r w:rsidR="003F2B35">
        <w:rPr>
          <w:sz w:val="24"/>
          <w:szCs w:val="24"/>
          <w:lang w:val="en-US"/>
        </w:rPr>
        <w:t xml:space="preserve"> </w:t>
      </w:r>
    </w:p>
    <w:p w:rsidR="00DA4BCD" w:rsidRDefault="004B6CD9" w:rsidP="00B42203">
      <w:pPr>
        <w:ind w:firstLine="708"/>
        <w:jc w:val="both"/>
        <w:rPr>
          <w:sz w:val="24"/>
          <w:szCs w:val="24"/>
          <w:lang w:val="en-US"/>
        </w:rPr>
      </w:pPr>
      <w:r w:rsidRPr="00F773DD">
        <w:rPr>
          <w:sz w:val="24"/>
          <w:szCs w:val="24"/>
          <w:lang w:val="en-US"/>
        </w:rPr>
        <w:t xml:space="preserve">The continued liability of </w:t>
      </w:r>
      <w:r w:rsidR="00BA637D" w:rsidRPr="00F773DD">
        <w:rPr>
          <w:sz w:val="24"/>
          <w:szCs w:val="24"/>
          <w:lang w:val="en-US"/>
        </w:rPr>
        <w:t>selling</w:t>
      </w:r>
      <w:r w:rsidR="00ED17B1" w:rsidRPr="00F773DD">
        <w:rPr>
          <w:sz w:val="24"/>
          <w:szCs w:val="24"/>
          <w:lang w:val="en-US"/>
        </w:rPr>
        <w:t xml:space="preserve"> shareholders—even if limited to a two-year period</w:t>
      </w:r>
      <w:r w:rsidR="00BA637D" w:rsidRPr="00F773DD">
        <w:rPr>
          <w:sz w:val="24"/>
          <w:szCs w:val="24"/>
          <w:lang w:val="en-US"/>
        </w:rPr>
        <w:t xml:space="preserve"> and if based solely on acts that occurred prior to the sale</w:t>
      </w:r>
      <w:r w:rsidR="00ED17B1" w:rsidRPr="00F773DD">
        <w:rPr>
          <w:sz w:val="24"/>
          <w:szCs w:val="24"/>
          <w:lang w:val="en-US"/>
        </w:rPr>
        <w:t xml:space="preserve">—can </w:t>
      </w:r>
      <w:r w:rsidRPr="00F773DD">
        <w:rPr>
          <w:sz w:val="24"/>
          <w:szCs w:val="24"/>
          <w:lang w:val="en-US"/>
        </w:rPr>
        <w:t xml:space="preserve">discourage share transfers. </w:t>
      </w:r>
      <w:r w:rsidR="00DA4BCD" w:rsidRPr="00F773DD">
        <w:rPr>
          <w:sz w:val="24"/>
          <w:szCs w:val="24"/>
          <w:lang w:val="en-US"/>
        </w:rPr>
        <w:t>In the employment context, for instance, workers typically do not sue until they leave the firm due to layoffs or their own volition.</w:t>
      </w:r>
      <w:r w:rsidR="000C2275">
        <w:rPr>
          <w:sz w:val="24"/>
          <w:szCs w:val="24"/>
          <w:lang w:val="en-US"/>
        </w:rPr>
        <w:t xml:space="preserve"> Because the corporation’s conduct post-sale can affect both resignations and dismissals leading to the liability of former shareholders, a sale of corporate control poses a moral hazard problem. </w:t>
      </w:r>
      <w:r w:rsidR="00DA4BCD" w:rsidRPr="00F773DD">
        <w:rPr>
          <w:sz w:val="24"/>
          <w:szCs w:val="24"/>
          <w:lang w:val="en-US"/>
        </w:rPr>
        <w:t>Controlling shareholders may t</w:t>
      </w:r>
      <w:r w:rsidR="000C2275">
        <w:rPr>
          <w:sz w:val="24"/>
          <w:szCs w:val="24"/>
          <w:lang w:val="en-US"/>
        </w:rPr>
        <w:t>herefore</w:t>
      </w:r>
      <w:r w:rsidR="00DA4BCD" w:rsidRPr="00F773DD">
        <w:rPr>
          <w:sz w:val="24"/>
          <w:szCs w:val="24"/>
          <w:lang w:val="en-US"/>
        </w:rPr>
        <w:t xml:space="preserve"> prefer</w:t>
      </w:r>
      <w:r w:rsidR="00DA4BCD">
        <w:rPr>
          <w:sz w:val="24"/>
          <w:szCs w:val="24"/>
          <w:lang w:val="en-US"/>
        </w:rPr>
        <w:t xml:space="preserve"> to </w:t>
      </w:r>
      <w:r w:rsidR="00B04EEF">
        <w:rPr>
          <w:sz w:val="24"/>
          <w:szCs w:val="24"/>
          <w:lang w:val="en-US"/>
        </w:rPr>
        <w:t xml:space="preserve">keep </w:t>
      </w:r>
      <w:r w:rsidR="00D56870">
        <w:rPr>
          <w:sz w:val="24"/>
          <w:szCs w:val="24"/>
          <w:lang w:val="en-US"/>
        </w:rPr>
        <w:t xml:space="preserve">control </w:t>
      </w:r>
      <w:proofErr w:type="gramStart"/>
      <w:r w:rsidR="00D56870">
        <w:rPr>
          <w:sz w:val="24"/>
          <w:szCs w:val="24"/>
          <w:lang w:val="en-US"/>
        </w:rPr>
        <w:t>over</w:t>
      </w:r>
      <w:proofErr w:type="gramEnd"/>
      <w:r w:rsidR="00D56870">
        <w:rPr>
          <w:sz w:val="24"/>
          <w:szCs w:val="24"/>
          <w:lang w:val="en-US"/>
        </w:rPr>
        <w:t xml:space="preserve"> firm operations to reduce their risk of </w:t>
      </w:r>
      <w:r w:rsidR="008C1834">
        <w:rPr>
          <w:sz w:val="24"/>
          <w:szCs w:val="24"/>
          <w:lang w:val="en-US"/>
        </w:rPr>
        <w:t xml:space="preserve">future </w:t>
      </w:r>
      <w:r w:rsidR="00D56870">
        <w:rPr>
          <w:sz w:val="24"/>
          <w:szCs w:val="24"/>
          <w:lang w:val="en-US"/>
        </w:rPr>
        <w:t>liability.</w:t>
      </w:r>
      <w:r w:rsidR="000C2275">
        <w:rPr>
          <w:sz w:val="24"/>
          <w:szCs w:val="24"/>
          <w:lang w:val="en-US"/>
        </w:rPr>
        <w:t xml:space="preserve"> While the parties can</w:t>
      </w:r>
      <w:r w:rsidR="00884F04">
        <w:rPr>
          <w:sz w:val="24"/>
          <w:szCs w:val="24"/>
          <w:lang w:val="en-US"/>
        </w:rPr>
        <w:t xml:space="preserve"> conceive contractual solutions to address these problems (by, for instance, including indemnities and post-closing covenants in the share purchase agreement), these are unlikely to be </w:t>
      </w:r>
      <w:r w:rsidR="008352D8">
        <w:rPr>
          <w:sz w:val="24"/>
          <w:szCs w:val="24"/>
          <w:lang w:val="en-US"/>
        </w:rPr>
        <w:t>bulletproof</w:t>
      </w:r>
      <w:r w:rsidR="00480120">
        <w:rPr>
          <w:sz w:val="24"/>
          <w:szCs w:val="24"/>
          <w:lang w:val="en-US"/>
        </w:rPr>
        <w:t>, especially in view of enforcement difficulties</w:t>
      </w:r>
      <w:r w:rsidR="00884F04">
        <w:rPr>
          <w:sz w:val="24"/>
          <w:szCs w:val="24"/>
          <w:lang w:val="en-US"/>
        </w:rPr>
        <w:t>.</w:t>
      </w:r>
      <w:r w:rsidR="00884F04">
        <w:rPr>
          <w:rStyle w:val="Refdenotaderodap"/>
          <w:sz w:val="24"/>
          <w:szCs w:val="24"/>
          <w:lang w:val="en-US"/>
        </w:rPr>
        <w:footnoteReference w:id="188"/>
      </w:r>
      <w:r w:rsidR="00D56870">
        <w:rPr>
          <w:sz w:val="24"/>
          <w:szCs w:val="24"/>
          <w:lang w:val="en-US"/>
        </w:rPr>
        <w:t xml:space="preserve"> </w:t>
      </w:r>
    </w:p>
    <w:p w:rsidR="00A56C80" w:rsidRDefault="00E56724" w:rsidP="00E56724">
      <w:pPr>
        <w:ind w:firstLine="708"/>
        <w:jc w:val="both"/>
        <w:rPr>
          <w:sz w:val="24"/>
          <w:szCs w:val="24"/>
          <w:lang w:val="en-US"/>
        </w:rPr>
      </w:pPr>
      <w:r>
        <w:rPr>
          <w:sz w:val="24"/>
          <w:szCs w:val="24"/>
          <w:lang w:val="en-US"/>
        </w:rPr>
        <w:t>All of this</w:t>
      </w:r>
      <w:r w:rsidR="00375B4F">
        <w:rPr>
          <w:sz w:val="24"/>
          <w:szCs w:val="24"/>
          <w:lang w:val="en-US"/>
        </w:rPr>
        <w:t xml:space="preserve"> suggests that </w:t>
      </w:r>
      <w:r w:rsidR="00A87639">
        <w:rPr>
          <w:sz w:val="24"/>
          <w:szCs w:val="24"/>
          <w:lang w:val="en-US"/>
        </w:rPr>
        <w:t>the</w:t>
      </w:r>
      <w:r w:rsidR="00375B4F">
        <w:rPr>
          <w:sz w:val="24"/>
          <w:szCs w:val="24"/>
          <w:lang w:val="en-US"/>
        </w:rPr>
        <w:t xml:space="preserve"> legal restrictions and practical hurdles to share transferability </w:t>
      </w:r>
      <w:r w:rsidR="00A87639">
        <w:rPr>
          <w:sz w:val="24"/>
          <w:szCs w:val="24"/>
          <w:lang w:val="en-US"/>
        </w:rPr>
        <w:t xml:space="preserve">in Brazil are greater </w:t>
      </w:r>
      <w:r w:rsidR="00375B4F">
        <w:rPr>
          <w:sz w:val="24"/>
          <w:szCs w:val="24"/>
          <w:lang w:val="en-US"/>
        </w:rPr>
        <w:t xml:space="preserve">than one would expect based </w:t>
      </w:r>
      <w:r w:rsidR="00A56C80">
        <w:rPr>
          <w:sz w:val="24"/>
          <w:szCs w:val="24"/>
          <w:lang w:val="en-US"/>
        </w:rPr>
        <w:t>on international experience. I will now turn to the last element of the corporate form—investor ownership</w:t>
      </w:r>
      <w:proofErr w:type="gramStart"/>
      <w:r w:rsidR="00A56C80">
        <w:rPr>
          <w:sz w:val="24"/>
          <w:szCs w:val="24"/>
          <w:lang w:val="en-US"/>
        </w:rPr>
        <w:t>—which</w:t>
      </w:r>
      <w:proofErr w:type="gramEnd"/>
      <w:r w:rsidR="00A56C80">
        <w:rPr>
          <w:sz w:val="24"/>
          <w:szCs w:val="24"/>
          <w:lang w:val="en-US"/>
        </w:rPr>
        <w:t xml:space="preserve"> is </w:t>
      </w:r>
      <w:r w:rsidR="003654F6">
        <w:rPr>
          <w:sz w:val="24"/>
          <w:szCs w:val="24"/>
          <w:lang w:val="en-US"/>
        </w:rPr>
        <w:t>also weaker</w:t>
      </w:r>
      <w:r w:rsidR="00A56C80">
        <w:rPr>
          <w:sz w:val="24"/>
          <w:szCs w:val="24"/>
          <w:lang w:val="en-US"/>
        </w:rPr>
        <w:t xml:space="preserve"> in the Brazilian context. </w:t>
      </w:r>
    </w:p>
    <w:p w:rsidR="00A56C80" w:rsidRPr="00F56687" w:rsidRDefault="00C62D88" w:rsidP="00260800">
      <w:pPr>
        <w:jc w:val="both"/>
        <w:rPr>
          <w:sz w:val="24"/>
          <w:szCs w:val="24"/>
          <w:lang w:val="en-US"/>
        </w:rPr>
      </w:pPr>
      <w:r>
        <w:rPr>
          <w:sz w:val="24"/>
          <w:szCs w:val="24"/>
          <w:lang w:val="en-US"/>
        </w:rPr>
        <w:t>E.</w:t>
      </w:r>
      <w:r>
        <w:rPr>
          <w:sz w:val="24"/>
          <w:szCs w:val="24"/>
          <w:lang w:val="en-US"/>
        </w:rPr>
        <w:tab/>
        <w:t>Investor o</w:t>
      </w:r>
      <w:r w:rsidR="00A56C80" w:rsidRPr="00F56687">
        <w:rPr>
          <w:sz w:val="24"/>
          <w:szCs w:val="24"/>
          <w:lang w:val="en-US"/>
        </w:rPr>
        <w:t xml:space="preserve">wnership </w:t>
      </w:r>
    </w:p>
    <w:p w:rsidR="00A56C80" w:rsidRDefault="00FD6AB3" w:rsidP="00260800">
      <w:pPr>
        <w:ind w:firstLine="720"/>
        <w:jc w:val="both"/>
        <w:rPr>
          <w:sz w:val="24"/>
          <w:szCs w:val="24"/>
          <w:lang w:val="en-US"/>
        </w:rPr>
      </w:pPr>
      <w:r>
        <w:rPr>
          <w:sz w:val="24"/>
          <w:szCs w:val="24"/>
          <w:lang w:val="en-US"/>
        </w:rPr>
        <w:t>Investor ownership means</w:t>
      </w:r>
      <w:r w:rsidR="00A56C80">
        <w:rPr>
          <w:sz w:val="24"/>
          <w:szCs w:val="24"/>
          <w:lang w:val="en-US"/>
        </w:rPr>
        <w:t xml:space="preserve"> that the corporation’s shareholders are primarily interested in a financial return on their investment</w:t>
      </w:r>
      <w:r w:rsidR="00FC0361">
        <w:rPr>
          <w:sz w:val="24"/>
          <w:szCs w:val="24"/>
          <w:lang w:val="en-US"/>
        </w:rPr>
        <w:t>, and that corporate laws operate with the interests of investors in mind</w:t>
      </w:r>
      <w:r w:rsidR="00A56C80">
        <w:rPr>
          <w:sz w:val="24"/>
          <w:szCs w:val="24"/>
          <w:lang w:val="en-US"/>
        </w:rPr>
        <w:t xml:space="preserve">. </w:t>
      </w:r>
      <w:r w:rsidR="002353E1">
        <w:rPr>
          <w:sz w:val="24"/>
          <w:szCs w:val="24"/>
          <w:lang w:val="en-US"/>
        </w:rPr>
        <w:t xml:space="preserve">From a historical perspective, investor ownership is </w:t>
      </w:r>
      <w:r w:rsidR="00FC0361">
        <w:rPr>
          <w:sz w:val="24"/>
          <w:szCs w:val="24"/>
          <w:lang w:val="en-US"/>
        </w:rPr>
        <w:t xml:space="preserve">a relatively recent attribute of the </w:t>
      </w:r>
      <w:r w:rsidR="002353E1">
        <w:rPr>
          <w:sz w:val="24"/>
          <w:szCs w:val="24"/>
          <w:lang w:val="en-US"/>
        </w:rPr>
        <w:t xml:space="preserve">corporate form. </w:t>
      </w:r>
      <w:r w:rsidR="00A56C80">
        <w:rPr>
          <w:sz w:val="24"/>
          <w:szCs w:val="24"/>
          <w:lang w:val="en-US"/>
        </w:rPr>
        <w:t xml:space="preserve">Given the limited availability of legal entities in the nineteenth century, it was common for consumer cooperatives or even non-profit firms to </w:t>
      </w:r>
      <w:r w:rsidR="00514AD2">
        <w:rPr>
          <w:sz w:val="24"/>
          <w:szCs w:val="24"/>
          <w:lang w:val="en-US"/>
        </w:rPr>
        <w:t>take the form of</w:t>
      </w:r>
      <w:r w:rsidR="00A56C80">
        <w:rPr>
          <w:sz w:val="24"/>
          <w:szCs w:val="24"/>
          <w:lang w:val="en-US"/>
        </w:rPr>
        <w:t xml:space="preserve"> business corporations. It was only since the late nineteenth century and early twentieth century that alternative ownership structures came to receive special organizational forms, and the business corporation became specialized in </w:t>
      </w:r>
      <w:r w:rsidR="00514AD2">
        <w:rPr>
          <w:sz w:val="24"/>
          <w:szCs w:val="24"/>
          <w:lang w:val="en-US"/>
        </w:rPr>
        <w:t>serving</w:t>
      </w:r>
      <w:r w:rsidR="00A56C80">
        <w:rPr>
          <w:sz w:val="24"/>
          <w:szCs w:val="24"/>
          <w:lang w:val="en-US"/>
        </w:rPr>
        <w:t xml:space="preserve"> investor-owned firms.</w:t>
      </w:r>
      <w:r w:rsidR="00A56C80">
        <w:rPr>
          <w:rStyle w:val="Refdenotaderodap"/>
          <w:sz w:val="24"/>
          <w:szCs w:val="24"/>
          <w:lang w:val="en-US"/>
        </w:rPr>
        <w:footnoteReference w:id="189"/>
      </w:r>
    </w:p>
    <w:p w:rsidR="009A6DFF" w:rsidRDefault="00A56C80" w:rsidP="00260800">
      <w:pPr>
        <w:ind w:firstLine="720"/>
        <w:jc w:val="both"/>
        <w:rPr>
          <w:sz w:val="24"/>
          <w:szCs w:val="24"/>
          <w:lang w:val="en-US"/>
        </w:rPr>
      </w:pPr>
      <w:r>
        <w:rPr>
          <w:sz w:val="24"/>
          <w:szCs w:val="24"/>
          <w:lang w:val="en-US"/>
        </w:rPr>
        <w:t>Investor ownership, however, is far from the only paradigm for</w:t>
      </w:r>
      <w:r w:rsidR="009A6DFF">
        <w:rPr>
          <w:sz w:val="24"/>
          <w:szCs w:val="24"/>
          <w:lang w:val="en-US"/>
        </w:rPr>
        <w:t xml:space="preserve"> business corporations in Brazil</w:t>
      </w:r>
      <w:r>
        <w:rPr>
          <w:sz w:val="24"/>
          <w:szCs w:val="24"/>
          <w:lang w:val="en-US"/>
        </w:rPr>
        <w:t xml:space="preserve">. </w:t>
      </w:r>
      <w:r w:rsidR="009A6DFF">
        <w:rPr>
          <w:sz w:val="24"/>
          <w:szCs w:val="24"/>
          <w:lang w:val="en-US"/>
        </w:rPr>
        <w:t>S</w:t>
      </w:r>
      <w:r>
        <w:rPr>
          <w:sz w:val="24"/>
          <w:szCs w:val="24"/>
          <w:lang w:val="en-US"/>
        </w:rPr>
        <w:t xml:space="preserve">tate ownership—both directly and through state-owned institutional investors—remains pervasive in </w:t>
      </w:r>
      <w:r w:rsidR="00E15EC9">
        <w:rPr>
          <w:sz w:val="24"/>
          <w:szCs w:val="24"/>
          <w:lang w:val="en-US"/>
        </w:rPr>
        <w:t>the country</w:t>
      </w:r>
      <w:r>
        <w:rPr>
          <w:sz w:val="24"/>
          <w:szCs w:val="24"/>
          <w:lang w:val="en-US"/>
        </w:rPr>
        <w:t>. State-owned enterprises (SOEs) controlled by the federal and state governments accounted for nearly one-third of Brazil’s market capitaliz</w:t>
      </w:r>
      <w:r w:rsidR="00E15EC9">
        <w:rPr>
          <w:sz w:val="24"/>
          <w:szCs w:val="24"/>
          <w:lang w:val="en-US"/>
        </w:rPr>
        <w:t>ation in 2011</w:t>
      </w:r>
      <w:r>
        <w:rPr>
          <w:sz w:val="24"/>
          <w:szCs w:val="24"/>
          <w:lang w:val="en-US"/>
        </w:rPr>
        <w:t xml:space="preserve">; at the height of the corruption scandal </w:t>
      </w:r>
      <w:r w:rsidR="00437C2D">
        <w:rPr>
          <w:sz w:val="24"/>
          <w:szCs w:val="24"/>
          <w:lang w:val="en-US"/>
        </w:rPr>
        <w:t xml:space="preserve">and crisis </w:t>
      </w:r>
      <w:r>
        <w:rPr>
          <w:sz w:val="24"/>
          <w:szCs w:val="24"/>
          <w:lang w:val="en-US"/>
        </w:rPr>
        <w:t>involving oil giant Petrobras in 2015, SOEs still represented 15% of market value.</w:t>
      </w:r>
      <w:r w:rsidR="007E0C73">
        <w:rPr>
          <w:rStyle w:val="Refdenotaderodap"/>
          <w:sz w:val="24"/>
          <w:szCs w:val="24"/>
          <w:lang w:val="en-US"/>
        </w:rPr>
        <w:footnoteReference w:id="190"/>
      </w:r>
      <w:r>
        <w:rPr>
          <w:sz w:val="24"/>
          <w:szCs w:val="24"/>
          <w:lang w:val="en-US"/>
        </w:rPr>
        <w:t xml:space="preserve"> </w:t>
      </w:r>
    </w:p>
    <w:p w:rsidR="00A56C80" w:rsidRDefault="00A56C80" w:rsidP="00260800">
      <w:pPr>
        <w:ind w:firstLine="720"/>
        <w:jc w:val="both"/>
        <w:rPr>
          <w:sz w:val="24"/>
          <w:szCs w:val="24"/>
          <w:lang w:val="en-US"/>
        </w:rPr>
      </w:pPr>
      <w:r>
        <w:rPr>
          <w:sz w:val="24"/>
          <w:szCs w:val="24"/>
          <w:lang w:val="en-US"/>
        </w:rPr>
        <w:lastRenderedPageBreak/>
        <w:t xml:space="preserve">The importance of state shareholdings </w:t>
      </w:r>
      <w:proofErr w:type="gramStart"/>
      <w:r>
        <w:rPr>
          <w:sz w:val="24"/>
          <w:szCs w:val="24"/>
          <w:lang w:val="en-US"/>
        </w:rPr>
        <w:t>is also significantly compounded</w:t>
      </w:r>
      <w:proofErr w:type="gramEnd"/>
      <w:r>
        <w:rPr>
          <w:sz w:val="24"/>
          <w:szCs w:val="24"/>
          <w:lang w:val="en-US"/>
        </w:rPr>
        <w:t xml:space="preserve"> due to the </w:t>
      </w:r>
      <w:r w:rsidR="00437C2D">
        <w:rPr>
          <w:sz w:val="24"/>
          <w:szCs w:val="24"/>
          <w:lang w:val="en-US"/>
        </w:rPr>
        <w:t xml:space="preserve">role </w:t>
      </w:r>
      <w:r>
        <w:rPr>
          <w:sz w:val="24"/>
          <w:szCs w:val="24"/>
          <w:lang w:val="en-US"/>
        </w:rPr>
        <w:t>of state-controlled institutional investors</w:t>
      </w:r>
      <w:r w:rsidR="0094462D">
        <w:rPr>
          <w:sz w:val="24"/>
          <w:szCs w:val="24"/>
          <w:lang w:val="en-US"/>
        </w:rPr>
        <w:t>.</w:t>
      </w:r>
      <w:r w:rsidR="00437C2D">
        <w:rPr>
          <w:sz w:val="24"/>
          <w:szCs w:val="24"/>
          <w:lang w:val="en-US"/>
        </w:rPr>
        <w:t xml:space="preserve"> </w:t>
      </w:r>
      <w:r w:rsidR="001C3417">
        <w:rPr>
          <w:sz w:val="24"/>
          <w:szCs w:val="24"/>
          <w:lang w:val="en-US"/>
        </w:rPr>
        <w:t>Brazil’s Nat</w:t>
      </w:r>
      <w:r w:rsidR="00BD1BE8">
        <w:rPr>
          <w:sz w:val="24"/>
          <w:szCs w:val="24"/>
          <w:lang w:val="en-US"/>
        </w:rPr>
        <w:t xml:space="preserve">ional Development Bank (BNDES) </w:t>
      </w:r>
      <w:r w:rsidR="001C3417">
        <w:rPr>
          <w:sz w:val="24"/>
          <w:szCs w:val="24"/>
          <w:lang w:val="en-US"/>
        </w:rPr>
        <w:t>plays a prominent role as a shareholder in both publicly traded and closely held firms.</w:t>
      </w:r>
      <w:r w:rsidR="001C3417">
        <w:rPr>
          <w:rStyle w:val="Refdenotaderodap"/>
          <w:sz w:val="24"/>
          <w:szCs w:val="24"/>
          <w:lang w:val="en-US"/>
        </w:rPr>
        <w:footnoteReference w:id="191"/>
      </w:r>
      <w:r w:rsidR="001C3417">
        <w:rPr>
          <w:sz w:val="24"/>
          <w:szCs w:val="24"/>
          <w:lang w:val="en-US"/>
        </w:rPr>
        <w:t xml:space="preserve"> </w:t>
      </w:r>
      <w:r w:rsidR="00437C2D">
        <w:rPr>
          <w:sz w:val="24"/>
          <w:szCs w:val="24"/>
          <w:lang w:val="en-US"/>
        </w:rPr>
        <w:t>Public pension funds in Brazil account for over 60% of the pension fund industry, and have larger equity investments and activist inclinations than their private counterparts.</w:t>
      </w:r>
      <w:r w:rsidR="00437C2D">
        <w:rPr>
          <w:rStyle w:val="Refdenotaderodap"/>
          <w:sz w:val="24"/>
          <w:szCs w:val="24"/>
          <w:lang w:val="en-US"/>
        </w:rPr>
        <w:footnoteReference w:id="192"/>
      </w:r>
      <w:r w:rsidR="00150AD7">
        <w:rPr>
          <w:sz w:val="24"/>
          <w:szCs w:val="24"/>
          <w:lang w:val="en-US"/>
        </w:rPr>
        <w:t xml:space="preserve"> </w:t>
      </w:r>
      <w:r>
        <w:rPr>
          <w:sz w:val="24"/>
          <w:szCs w:val="24"/>
          <w:lang w:val="en-US"/>
        </w:rPr>
        <w:t>Th</w:t>
      </w:r>
      <w:r w:rsidR="001E607B">
        <w:rPr>
          <w:sz w:val="24"/>
          <w:szCs w:val="24"/>
          <w:lang w:val="en-US"/>
        </w:rPr>
        <w:t xml:space="preserve">is </w:t>
      </w:r>
      <w:r w:rsidR="00CE42C5">
        <w:rPr>
          <w:sz w:val="24"/>
          <w:szCs w:val="24"/>
          <w:lang w:val="en-US"/>
        </w:rPr>
        <w:t>has led to some</w:t>
      </w:r>
      <w:r w:rsidR="001E607B">
        <w:rPr>
          <w:sz w:val="24"/>
          <w:szCs w:val="24"/>
          <w:lang w:val="en-US"/>
        </w:rPr>
        <w:t xml:space="preserve"> ostensibly private companies</w:t>
      </w:r>
      <w:r>
        <w:rPr>
          <w:sz w:val="24"/>
          <w:szCs w:val="24"/>
          <w:lang w:val="en-US"/>
        </w:rPr>
        <w:t xml:space="preserve"> effectively</w:t>
      </w:r>
      <w:r w:rsidR="001E607B">
        <w:rPr>
          <w:sz w:val="24"/>
          <w:szCs w:val="24"/>
          <w:lang w:val="en-US"/>
        </w:rPr>
        <w:t xml:space="preserve"> operating as</w:t>
      </w:r>
      <w:r>
        <w:rPr>
          <w:sz w:val="24"/>
          <w:szCs w:val="24"/>
          <w:lang w:val="en-US"/>
        </w:rPr>
        <w:t xml:space="preserve"> “shadow SOEs” due to indirect </w:t>
      </w:r>
      <w:r w:rsidR="001E607B">
        <w:rPr>
          <w:sz w:val="24"/>
          <w:szCs w:val="24"/>
          <w:lang w:val="en-US"/>
        </w:rPr>
        <w:t xml:space="preserve">shareholdings by the state and SOE pension funds. Mining giant Vale, a former SOE </w:t>
      </w:r>
      <w:r w:rsidR="009A6DFF">
        <w:rPr>
          <w:sz w:val="24"/>
          <w:szCs w:val="24"/>
          <w:lang w:val="en-US"/>
        </w:rPr>
        <w:t>that</w:t>
      </w:r>
      <w:r w:rsidR="001E607B">
        <w:rPr>
          <w:sz w:val="24"/>
          <w:szCs w:val="24"/>
          <w:lang w:val="en-US"/>
        </w:rPr>
        <w:t xml:space="preserve"> </w:t>
      </w:r>
      <w:proofErr w:type="gramStart"/>
      <w:r w:rsidR="001E607B">
        <w:rPr>
          <w:sz w:val="24"/>
          <w:szCs w:val="24"/>
          <w:lang w:val="en-US"/>
        </w:rPr>
        <w:t>was privatized</w:t>
      </w:r>
      <w:proofErr w:type="gramEnd"/>
      <w:r w:rsidR="001E607B">
        <w:rPr>
          <w:sz w:val="24"/>
          <w:szCs w:val="24"/>
          <w:lang w:val="en-US"/>
        </w:rPr>
        <w:t xml:space="preserve"> in the 1990s, </w:t>
      </w:r>
      <w:r w:rsidR="00BD1BE8">
        <w:rPr>
          <w:sz w:val="24"/>
          <w:szCs w:val="24"/>
          <w:lang w:val="en-US"/>
        </w:rPr>
        <w:t>offers a paradigmatic example</w:t>
      </w:r>
      <w:r w:rsidR="001E607B">
        <w:rPr>
          <w:sz w:val="24"/>
          <w:szCs w:val="24"/>
          <w:lang w:val="en-US"/>
        </w:rPr>
        <w:t xml:space="preserve">. </w:t>
      </w:r>
    </w:p>
    <w:p w:rsidR="00A56C80" w:rsidRDefault="00A56C80" w:rsidP="00260800">
      <w:pPr>
        <w:ind w:firstLine="720"/>
        <w:jc w:val="both"/>
        <w:rPr>
          <w:sz w:val="24"/>
          <w:szCs w:val="24"/>
          <w:lang w:val="en-US"/>
        </w:rPr>
      </w:pPr>
      <w:r>
        <w:rPr>
          <w:sz w:val="24"/>
          <w:szCs w:val="24"/>
          <w:lang w:val="en-US"/>
        </w:rPr>
        <w:t xml:space="preserve">The state, in turn, is not </w:t>
      </w:r>
      <w:r w:rsidR="00784E22">
        <w:rPr>
          <w:sz w:val="24"/>
          <w:szCs w:val="24"/>
          <w:lang w:val="en-US"/>
        </w:rPr>
        <w:t>a typical</w:t>
      </w:r>
      <w:r w:rsidR="003C62ED">
        <w:rPr>
          <w:sz w:val="24"/>
          <w:szCs w:val="24"/>
          <w:lang w:val="en-US"/>
        </w:rPr>
        <w:t xml:space="preserve"> investor</w:t>
      </w:r>
      <w:r>
        <w:rPr>
          <w:sz w:val="24"/>
          <w:szCs w:val="24"/>
          <w:lang w:val="en-US"/>
        </w:rPr>
        <w:t xml:space="preserve">. </w:t>
      </w:r>
      <w:r w:rsidR="00FE1668">
        <w:rPr>
          <w:sz w:val="24"/>
          <w:szCs w:val="24"/>
          <w:lang w:val="en-US"/>
        </w:rPr>
        <w:t>As a controlling shareholder in a mixed enterprise</w:t>
      </w:r>
      <w:r>
        <w:rPr>
          <w:sz w:val="24"/>
          <w:szCs w:val="24"/>
          <w:lang w:val="en-US"/>
        </w:rPr>
        <w:t xml:space="preserve"> the state does not—and, indeed, </w:t>
      </w:r>
      <w:r w:rsidR="00FE1668">
        <w:rPr>
          <w:sz w:val="24"/>
          <w:szCs w:val="24"/>
          <w:lang w:val="en-US"/>
        </w:rPr>
        <w:t xml:space="preserve">some </w:t>
      </w:r>
      <w:r>
        <w:rPr>
          <w:sz w:val="24"/>
          <w:szCs w:val="24"/>
          <w:lang w:val="en-US"/>
        </w:rPr>
        <w:t>constitutional and administrative lawyers would argue, cannot—run the firm simply to maximize profit.</w:t>
      </w:r>
      <w:r w:rsidR="008F12E9">
        <w:rPr>
          <w:rStyle w:val="Refdenotaderodap"/>
          <w:sz w:val="24"/>
          <w:szCs w:val="24"/>
          <w:lang w:val="en-US"/>
        </w:rPr>
        <w:footnoteReference w:id="193"/>
      </w:r>
      <w:r>
        <w:rPr>
          <w:sz w:val="24"/>
          <w:szCs w:val="24"/>
          <w:lang w:val="en-US"/>
        </w:rPr>
        <w:t xml:space="preserve"> If state intervention </w:t>
      </w:r>
      <w:proofErr w:type="gramStart"/>
      <w:r>
        <w:rPr>
          <w:sz w:val="24"/>
          <w:szCs w:val="24"/>
          <w:lang w:val="en-US"/>
        </w:rPr>
        <w:t>is warranted</w:t>
      </w:r>
      <w:proofErr w:type="gramEnd"/>
      <w:r>
        <w:rPr>
          <w:sz w:val="24"/>
          <w:szCs w:val="24"/>
          <w:lang w:val="en-US"/>
        </w:rPr>
        <w:t xml:space="preserve"> in the first place, then profit maximization is likely to be inappropriate. Moreover, even</w:t>
      </w:r>
      <w:r w:rsidR="00C62E7B">
        <w:rPr>
          <w:sz w:val="24"/>
          <w:szCs w:val="24"/>
          <w:lang w:val="en-US"/>
        </w:rPr>
        <w:t xml:space="preserve"> in contexts where</w:t>
      </w:r>
      <w:r>
        <w:rPr>
          <w:sz w:val="24"/>
          <w:szCs w:val="24"/>
          <w:lang w:val="en-US"/>
        </w:rPr>
        <w:t xml:space="preserve"> profit maximization may be appropriate—as in the case of state-controlled pension funds or</w:t>
      </w:r>
      <w:r w:rsidR="00C62E7B">
        <w:rPr>
          <w:sz w:val="24"/>
          <w:szCs w:val="24"/>
          <w:lang w:val="en-US"/>
        </w:rPr>
        <w:t>, less forcefully,</w:t>
      </w:r>
      <w:r>
        <w:rPr>
          <w:sz w:val="24"/>
          <w:szCs w:val="24"/>
          <w:lang w:val="en-US"/>
        </w:rPr>
        <w:t xml:space="preserve"> investments by the development </w:t>
      </w:r>
      <w:r w:rsidR="00BD1BE8">
        <w:rPr>
          <w:sz w:val="24"/>
          <w:szCs w:val="24"/>
          <w:lang w:val="en-US"/>
        </w:rPr>
        <w:t>bank—political interference in view</w:t>
      </w:r>
      <w:r>
        <w:rPr>
          <w:sz w:val="24"/>
          <w:szCs w:val="24"/>
          <w:lang w:val="en-US"/>
        </w:rPr>
        <w:t xml:space="preserve"> of other objectives is often present.</w:t>
      </w:r>
    </w:p>
    <w:p w:rsidR="00A56C80" w:rsidRDefault="00A56C80" w:rsidP="00260800">
      <w:pPr>
        <w:ind w:firstLine="720"/>
        <w:jc w:val="both"/>
        <w:rPr>
          <w:b/>
          <w:sz w:val="24"/>
          <w:szCs w:val="24"/>
          <w:lang w:val="en-US"/>
        </w:rPr>
      </w:pPr>
      <w:r>
        <w:rPr>
          <w:sz w:val="24"/>
          <w:szCs w:val="24"/>
          <w:lang w:val="en-US"/>
        </w:rPr>
        <w:t xml:space="preserve">The actual behavior of SOEs or shadow SOEs confirms the suspicion that the state does not act as a typical </w:t>
      </w:r>
      <w:r w:rsidR="008A5413">
        <w:rPr>
          <w:sz w:val="24"/>
          <w:szCs w:val="24"/>
          <w:lang w:val="en-US"/>
        </w:rPr>
        <w:t>investor</w:t>
      </w:r>
      <w:r>
        <w:rPr>
          <w:sz w:val="24"/>
          <w:szCs w:val="24"/>
          <w:lang w:val="en-US"/>
        </w:rPr>
        <w:t xml:space="preserve">. For instance, in </w:t>
      </w:r>
      <w:r w:rsidR="0069484E">
        <w:rPr>
          <w:sz w:val="24"/>
          <w:szCs w:val="24"/>
          <w:lang w:val="en-US"/>
        </w:rPr>
        <w:t>2011</w:t>
      </w:r>
      <w:r>
        <w:rPr>
          <w:sz w:val="24"/>
          <w:szCs w:val="24"/>
          <w:lang w:val="en-US"/>
        </w:rPr>
        <w:t xml:space="preserve"> state-owned institutional investors catered to pressure from then President Lula to dismiss the CEO of Vale, which then had a stellar financial performance, due to concerns about excessive firings of workers and underinvestment in the country.</w:t>
      </w:r>
      <w:r>
        <w:rPr>
          <w:rStyle w:val="Refdenotaderodap"/>
          <w:sz w:val="24"/>
          <w:szCs w:val="24"/>
          <w:lang w:val="en-US"/>
        </w:rPr>
        <w:footnoteReference w:id="194"/>
      </w:r>
      <w:r>
        <w:rPr>
          <w:sz w:val="24"/>
          <w:szCs w:val="24"/>
          <w:lang w:val="en-US"/>
        </w:rPr>
        <w:t xml:space="preserve"> More recently, Petrobras has endured serious losses due to oil price controls imposed by the government to </w:t>
      </w:r>
      <w:r w:rsidR="009802B3">
        <w:rPr>
          <w:sz w:val="24"/>
          <w:szCs w:val="24"/>
          <w:lang w:val="en-US"/>
        </w:rPr>
        <w:t xml:space="preserve">curb </w:t>
      </w:r>
      <w:r>
        <w:rPr>
          <w:sz w:val="24"/>
          <w:szCs w:val="24"/>
          <w:lang w:val="en-US"/>
        </w:rPr>
        <w:t>inflation, which led the company to purchase oil at the higher international price and sell it at the lower controlled price—</w:t>
      </w:r>
      <w:proofErr w:type="gramStart"/>
      <w:r>
        <w:rPr>
          <w:sz w:val="24"/>
          <w:szCs w:val="24"/>
          <w:lang w:val="en-US"/>
        </w:rPr>
        <w:t>a far cry</w:t>
      </w:r>
      <w:proofErr w:type="gramEnd"/>
      <w:r>
        <w:rPr>
          <w:sz w:val="24"/>
          <w:szCs w:val="24"/>
          <w:lang w:val="en-US"/>
        </w:rPr>
        <w:t xml:space="preserve"> from what a rational investor would do. </w:t>
      </w:r>
    </w:p>
    <w:p w:rsidR="00872109" w:rsidRDefault="004524A1" w:rsidP="00813C66">
      <w:pPr>
        <w:ind w:firstLine="720"/>
        <w:jc w:val="both"/>
        <w:rPr>
          <w:sz w:val="24"/>
          <w:szCs w:val="24"/>
          <w:lang w:val="en-US"/>
        </w:rPr>
      </w:pPr>
      <w:r>
        <w:rPr>
          <w:sz w:val="24"/>
          <w:szCs w:val="24"/>
          <w:lang w:val="en-US"/>
        </w:rPr>
        <w:t>T</w:t>
      </w:r>
      <w:r w:rsidR="00A56C80">
        <w:rPr>
          <w:sz w:val="24"/>
          <w:szCs w:val="24"/>
          <w:lang w:val="en-US"/>
        </w:rPr>
        <w:t xml:space="preserve">he presence of the state as an important controlling </w:t>
      </w:r>
      <w:r w:rsidR="00197922">
        <w:rPr>
          <w:sz w:val="24"/>
          <w:szCs w:val="24"/>
          <w:lang w:val="en-US"/>
        </w:rPr>
        <w:t>and minority</w:t>
      </w:r>
      <w:r w:rsidR="00A56C80">
        <w:rPr>
          <w:sz w:val="24"/>
          <w:szCs w:val="24"/>
          <w:lang w:val="en-US"/>
        </w:rPr>
        <w:t xml:space="preserve"> shareholder has shaped Brazilian law in important ways. </w:t>
      </w:r>
      <w:r w:rsidR="00B2643F">
        <w:rPr>
          <w:sz w:val="24"/>
          <w:szCs w:val="24"/>
          <w:lang w:val="en-US"/>
        </w:rPr>
        <w:t>T</w:t>
      </w:r>
      <w:r w:rsidR="00A56C80">
        <w:rPr>
          <w:sz w:val="24"/>
          <w:szCs w:val="24"/>
          <w:lang w:val="en-US"/>
        </w:rPr>
        <w:t xml:space="preserve">he state has used its political influence to increase its power as a shareholder or decrease minority </w:t>
      </w:r>
      <w:r>
        <w:rPr>
          <w:sz w:val="24"/>
          <w:szCs w:val="24"/>
          <w:lang w:val="en-US"/>
        </w:rPr>
        <w:t>investor protections</w:t>
      </w:r>
      <w:r w:rsidR="00A56C80">
        <w:rPr>
          <w:sz w:val="24"/>
          <w:szCs w:val="24"/>
          <w:lang w:val="en-US"/>
        </w:rPr>
        <w:t>.</w:t>
      </w:r>
      <w:r w:rsidR="00B2643F">
        <w:rPr>
          <w:rStyle w:val="Refdenotaderodap"/>
          <w:sz w:val="24"/>
          <w:szCs w:val="24"/>
          <w:lang w:val="en-US"/>
        </w:rPr>
        <w:footnoteReference w:id="195"/>
      </w:r>
      <w:r w:rsidR="00CA2894">
        <w:rPr>
          <w:sz w:val="24"/>
          <w:szCs w:val="24"/>
          <w:lang w:val="en-US"/>
        </w:rPr>
        <w:t xml:space="preserve"> It has also</w:t>
      </w:r>
      <w:r w:rsidR="00A56C80">
        <w:rPr>
          <w:sz w:val="24"/>
          <w:szCs w:val="24"/>
          <w:lang w:val="en-US"/>
        </w:rPr>
        <w:t xml:space="preserve"> pushed the Corporations Law in directions that </w:t>
      </w:r>
      <w:proofErr w:type="gramStart"/>
      <w:r w:rsidR="00A56C80">
        <w:rPr>
          <w:sz w:val="24"/>
          <w:szCs w:val="24"/>
          <w:lang w:val="en-US"/>
        </w:rPr>
        <w:t>are less tailored</w:t>
      </w:r>
      <w:proofErr w:type="gramEnd"/>
      <w:r w:rsidR="00A56C80">
        <w:rPr>
          <w:sz w:val="24"/>
          <w:szCs w:val="24"/>
          <w:lang w:val="en-US"/>
        </w:rPr>
        <w:t xml:space="preserve"> to the interests of </w:t>
      </w:r>
      <w:r w:rsidR="008C3A18">
        <w:rPr>
          <w:sz w:val="24"/>
          <w:szCs w:val="24"/>
          <w:lang w:val="en-US"/>
        </w:rPr>
        <w:t xml:space="preserve">outside </w:t>
      </w:r>
      <w:r w:rsidR="00A56C80">
        <w:rPr>
          <w:sz w:val="24"/>
          <w:szCs w:val="24"/>
          <w:lang w:val="en-US"/>
        </w:rPr>
        <w:t xml:space="preserve">investors. For instance, the statute </w:t>
      </w:r>
      <w:r w:rsidR="001D31D8">
        <w:rPr>
          <w:sz w:val="24"/>
          <w:szCs w:val="24"/>
          <w:lang w:val="en-US"/>
        </w:rPr>
        <w:t>provides</w:t>
      </w:r>
      <w:r w:rsidR="00A56C80">
        <w:rPr>
          <w:sz w:val="24"/>
          <w:szCs w:val="24"/>
          <w:lang w:val="en-US"/>
        </w:rPr>
        <w:t xml:space="preserve"> that controlling shareholders breach their fiduciary duties when they direct the company to pursue a goal that is foreign to its purpose, to the detriment of minority shareholders or even the “national </w:t>
      </w:r>
      <w:r w:rsidR="00A56C80">
        <w:rPr>
          <w:sz w:val="24"/>
          <w:szCs w:val="24"/>
          <w:lang w:val="en-US"/>
        </w:rPr>
        <w:lastRenderedPageBreak/>
        <w:t>economy”</w:t>
      </w:r>
      <w:bookmarkStart w:id="37" w:name="_Ref255652581"/>
      <w:r w:rsidR="00A56C80">
        <w:rPr>
          <w:rStyle w:val="Refdenotaderodap"/>
          <w:sz w:val="24"/>
          <w:szCs w:val="24"/>
          <w:lang w:val="en-US"/>
        </w:rPr>
        <w:footnoteReference w:id="196"/>
      </w:r>
      <w:bookmarkEnd w:id="37"/>
      <w:r w:rsidR="00A56C80">
        <w:rPr>
          <w:sz w:val="24"/>
          <w:szCs w:val="24"/>
          <w:lang w:val="en-US"/>
        </w:rPr>
        <w:t xml:space="preserve">—hardly a provision conceived with the interests of </w:t>
      </w:r>
      <w:r w:rsidR="00995056">
        <w:rPr>
          <w:sz w:val="24"/>
          <w:szCs w:val="24"/>
          <w:lang w:val="en-US"/>
        </w:rPr>
        <w:t>investors</w:t>
      </w:r>
      <w:r w:rsidR="005E43E6">
        <w:rPr>
          <w:sz w:val="24"/>
          <w:szCs w:val="24"/>
          <w:lang w:val="en-US"/>
        </w:rPr>
        <w:t xml:space="preserve"> in mind. Moreover, </w:t>
      </w:r>
      <w:r w:rsidR="00A56C80">
        <w:rPr>
          <w:sz w:val="24"/>
          <w:szCs w:val="24"/>
          <w:lang w:val="en-US"/>
        </w:rPr>
        <w:t xml:space="preserve">the </w:t>
      </w:r>
      <w:r w:rsidR="00D22577">
        <w:rPr>
          <w:sz w:val="24"/>
          <w:szCs w:val="24"/>
          <w:lang w:val="en-US"/>
        </w:rPr>
        <w:t>LSA</w:t>
      </w:r>
      <w:r w:rsidR="00A56C80">
        <w:rPr>
          <w:sz w:val="24"/>
          <w:szCs w:val="24"/>
          <w:lang w:val="en-US"/>
        </w:rPr>
        <w:t xml:space="preserve"> also provides that managers shall discharge their duties in view of the company’s purpose, but with due regard to the “requirements of public good and of the social function of enterprise.”</w:t>
      </w:r>
      <w:r w:rsidR="00A56C80">
        <w:rPr>
          <w:rStyle w:val="Refdenotaderodap"/>
          <w:sz w:val="24"/>
          <w:szCs w:val="24"/>
          <w:lang w:val="en-US"/>
        </w:rPr>
        <w:footnoteReference w:id="197"/>
      </w:r>
    </w:p>
    <w:p w:rsidR="003C1E88" w:rsidRPr="002B16FE" w:rsidRDefault="003C1E88" w:rsidP="002B16FE">
      <w:pPr>
        <w:jc w:val="both"/>
        <w:rPr>
          <w:b/>
          <w:sz w:val="24"/>
          <w:szCs w:val="24"/>
          <w:lang w:val="en-US"/>
        </w:rPr>
      </w:pPr>
      <w:r w:rsidRPr="00FD6B58">
        <w:rPr>
          <w:b/>
          <w:sz w:val="24"/>
          <w:szCs w:val="24"/>
          <w:lang w:val="en-US"/>
        </w:rPr>
        <w:t>I</w:t>
      </w:r>
      <w:r>
        <w:rPr>
          <w:b/>
          <w:sz w:val="24"/>
          <w:szCs w:val="24"/>
          <w:lang w:val="en-US"/>
        </w:rPr>
        <w:t>I.</w:t>
      </w:r>
      <w:r>
        <w:rPr>
          <w:b/>
          <w:sz w:val="24"/>
          <w:szCs w:val="24"/>
          <w:lang w:val="en-US"/>
        </w:rPr>
        <w:tab/>
      </w:r>
      <w:r w:rsidR="00E12199">
        <w:rPr>
          <w:b/>
          <w:sz w:val="24"/>
          <w:szCs w:val="24"/>
          <w:lang w:val="en-US"/>
        </w:rPr>
        <w:t>Explaining the Dwindling Corporate Attributes</w:t>
      </w:r>
      <w:r w:rsidR="00117CD5">
        <w:rPr>
          <w:b/>
          <w:sz w:val="24"/>
          <w:szCs w:val="24"/>
          <w:lang w:val="en-US"/>
        </w:rPr>
        <w:t xml:space="preserve"> in Brazil</w:t>
      </w:r>
    </w:p>
    <w:p w:rsidR="00D745D1" w:rsidRPr="00E725E0" w:rsidRDefault="00E725E0" w:rsidP="00E725E0">
      <w:pPr>
        <w:ind w:firstLine="708"/>
        <w:jc w:val="both"/>
        <w:rPr>
          <w:sz w:val="24"/>
          <w:szCs w:val="24"/>
          <w:lang w:val="en-US"/>
        </w:rPr>
      </w:pPr>
      <w:r>
        <w:rPr>
          <w:sz w:val="24"/>
          <w:szCs w:val="24"/>
          <w:lang w:val="en-US"/>
        </w:rPr>
        <w:t>A.</w:t>
      </w:r>
      <w:r>
        <w:rPr>
          <w:sz w:val="24"/>
          <w:szCs w:val="24"/>
          <w:lang w:val="en-US"/>
        </w:rPr>
        <w:tab/>
      </w:r>
      <w:r w:rsidR="00D745D1" w:rsidRPr="00E725E0">
        <w:rPr>
          <w:sz w:val="24"/>
          <w:szCs w:val="24"/>
          <w:lang w:val="en-US"/>
        </w:rPr>
        <w:t>Efficiency</w:t>
      </w:r>
    </w:p>
    <w:p w:rsidR="00AC5333" w:rsidRDefault="002B16FE" w:rsidP="00D745D1">
      <w:pPr>
        <w:ind w:firstLine="708"/>
        <w:jc w:val="both"/>
        <w:rPr>
          <w:sz w:val="24"/>
          <w:szCs w:val="24"/>
          <w:lang w:val="en-US"/>
        </w:rPr>
      </w:pPr>
      <w:r>
        <w:rPr>
          <w:sz w:val="24"/>
          <w:szCs w:val="24"/>
          <w:lang w:val="en-US"/>
        </w:rPr>
        <w:t>At first, e</w:t>
      </w:r>
      <w:r w:rsidR="00177199">
        <w:rPr>
          <w:sz w:val="24"/>
          <w:szCs w:val="24"/>
          <w:lang w:val="en-US"/>
        </w:rPr>
        <w:t xml:space="preserve">xamining the efficiency case for the weakening of </w:t>
      </w:r>
      <w:r w:rsidR="00F03D1E">
        <w:rPr>
          <w:sz w:val="24"/>
          <w:szCs w:val="24"/>
          <w:lang w:val="en-US"/>
        </w:rPr>
        <w:t>corporate attributes</w:t>
      </w:r>
      <w:r w:rsidR="00A0507B">
        <w:rPr>
          <w:sz w:val="24"/>
          <w:szCs w:val="24"/>
          <w:lang w:val="en-US"/>
        </w:rPr>
        <w:t xml:space="preserve"> in Brazil looks like a strange proposition</w:t>
      </w:r>
      <w:r w:rsidR="00177199">
        <w:rPr>
          <w:sz w:val="24"/>
          <w:szCs w:val="24"/>
          <w:lang w:val="en-US"/>
        </w:rPr>
        <w:t xml:space="preserve">. </w:t>
      </w:r>
      <w:r w:rsidR="005A4C25">
        <w:rPr>
          <w:sz w:val="24"/>
          <w:szCs w:val="24"/>
          <w:lang w:val="en-US"/>
        </w:rPr>
        <w:t xml:space="preserve">There is a large </w:t>
      </w:r>
      <w:r w:rsidR="00177199">
        <w:rPr>
          <w:sz w:val="24"/>
          <w:szCs w:val="24"/>
          <w:lang w:val="en-US"/>
        </w:rPr>
        <w:t xml:space="preserve">and robust </w:t>
      </w:r>
      <w:r w:rsidR="005A4C25">
        <w:rPr>
          <w:sz w:val="24"/>
          <w:szCs w:val="24"/>
          <w:lang w:val="en-US"/>
        </w:rPr>
        <w:t xml:space="preserve">literature </w:t>
      </w:r>
      <w:r w:rsidR="005F3727">
        <w:rPr>
          <w:sz w:val="24"/>
          <w:szCs w:val="24"/>
          <w:lang w:val="en-US"/>
        </w:rPr>
        <w:t xml:space="preserve">highlighting </w:t>
      </w:r>
      <w:r w:rsidR="005A4C25">
        <w:rPr>
          <w:sz w:val="24"/>
          <w:szCs w:val="24"/>
          <w:lang w:val="en-US"/>
        </w:rPr>
        <w:t xml:space="preserve">the </w:t>
      </w:r>
      <w:r w:rsidR="00F03D1E">
        <w:rPr>
          <w:sz w:val="24"/>
          <w:szCs w:val="24"/>
          <w:lang w:val="en-US"/>
        </w:rPr>
        <w:t xml:space="preserve">importance of the corporate form and the </w:t>
      </w:r>
      <w:r w:rsidR="005A4C25">
        <w:rPr>
          <w:sz w:val="24"/>
          <w:szCs w:val="24"/>
          <w:lang w:val="en-US"/>
        </w:rPr>
        <w:t xml:space="preserve">efficiency of </w:t>
      </w:r>
      <w:r w:rsidR="00F03D1E">
        <w:rPr>
          <w:sz w:val="24"/>
          <w:szCs w:val="24"/>
          <w:lang w:val="en-US"/>
        </w:rPr>
        <w:t>its</w:t>
      </w:r>
      <w:r w:rsidR="00B066AE">
        <w:rPr>
          <w:sz w:val="24"/>
          <w:szCs w:val="24"/>
          <w:lang w:val="en-US"/>
        </w:rPr>
        <w:t xml:space="preserve"> core elements.</w:t>
      </w:r>
      <w:r w:rsidR="006A2911">
        <w:rPr>
          <w:rStyle w:val="Refdenotaderodap"/>
          <w:sz w:val="24"/>
          <w:szCs w:val="24"/>
          <w:lang w:val="en-US"/>
        </w:rPr>
        <w:footnoteReference w:id="198"/>
      </w:r>
      <w:r w:rsidR="00B066AE">
        <w:rPr>
          <w:sz w:val="24"/>
          <w:szCs w:val="24"/>
          <w:lang w:val="en-US"/>
        </w:rPr>
        <w:t xml:space="preserve"> The spread of the </w:t>
      </w:r>
      <w:r w:rsidR="00F03D1E">
        <w:rPr>
          <w:sz w:val="24"/>
          <w:szCs w:val="24"/>
          <w:lang w:val="en-US"/>
        </w:rPr>
        <w:t>business corporation</w:t>
      </w:r>
      <w:r w:rsidR="00B066AE">
        <w:rPr>
          <w:sz w:val="24"/>
          <w:szCs w:val="24"/>
          <w:lang w:val="en-US"/>
        </w:rPr>
        <w:t xml:space="preserve"> over time and around the globe offers further evidence of its functionality. </w:t>
      </w:r>
      <w:r w:rsidR="0072311D">
        <w:rPr>
          <w:sz w:val="24"/>
          <w:szCs w:val="24"/>
          <w:lang w:val="en-US"/>
        </w:rPr>
        <w:t xml:space="preserve">One </w:t>
      </w:r>
      <w:r w:rsidR="00D745D1">
        <w:rPr>
          <w:sz w:val="24"/>
          <w:szCs w:val="24"/>
          <w:lang w:val="en-US"/>
        </w:rPr>
        <w:t>intuitive</w:t>
      </w:r>
      <w:r w:rsidR="00085AC8">
        <w:rPr>
          <w:sz w:val="24"/>
          <w:szCs w:val="24"/>
          <w:lang w:val="en-US"/>
        </w:rPr>
        <w:t xml:space="preserve"> conclusion would</w:t>
      </w:r>
      <w:r w:rsidR="004F1BC6">
        <w:rPr>
          <w:sz w:val="24"/>
          <w:szCs w:val="24"/>
          <w:lang w:val="en-US"/>
        </w:rPr>
        <w:t xml:space="preserve"> be</w:t>
      </w:r>
      <w:r w:rsidR="0072311D">
        <w:rPr>
          <w:sz w:val="24"/>
          <w:szCs w:val="24"/>
          <w:lang w:val="en-US"/>
        </w:rPr>
        <w:t xml:space="preserve"> that </w:t>
      </w:r>
      <w:r w:rsidR="00C418F3">
        <w:rPr>
          <w:sz w:val="24"/>
          <w:szCs w:val="24"/>
          <w:lang w:val="en-US"/>
        </w:rPr>
        <w:t xml:space="preserve">the </w:t>
      </w:r>
      <w:r w:rsidR="00F03D1E">
        <w:rPr>
          <w:sz w:val="24"/>
          <w:szCs w:val="24"/>
          <w:lang w:val="en-US"/>
        </w:rPr>
        <w:t xml:space="preserve">observed </w:t>
      </w:r>
      <w:proofErr w:type="spellStart"/>
      <w:r w:rsidR="00F03D1E">
        <w:rPr>
          <w:sz w:val="24"/>
          <w:szCs w:val="24"/>
          <w:lang w:val="en-US"/>
        </w:rPr>
        <w:t>decorporatization</w:t>
      </w:r>
      <w:proofErr w:type="spellEnd"/>
      <w:r w:rsidR="00F03D1E">
        <w:rPr>
          <w:sz w:val="24"/>
          <w:szCs w:val="24"/>
          <w:lang w:val="en-US"/>
        </w:rPr>
        <w:t xml:space="preserve"> in Brazil</w:t>
      </w:r>
      <w:r w:rsidR="008B7570">
        <w:rPr>
          <w:sz w:val="24"/>
          <w:szCs w:val="24"/>
          <w:lang w:val="en-US"/>
        </w:rPr>
        <w:t xml:space="preserve"> is</w:t>
      </w:r>
      <w:r w:rsidR="0072311D">
        <w:rPr>
          <w:sz w:val="24"/>
          <w:szCs w:val="24"/>
          <w:lang w:val="en-US"/>
        </w:rPr>
        <w:t xml:space="preserve"> not the product of efficiency considerations, but </w:t>
      </w:r>
      <w:r w:rsidR="00C418F3">
        <w:rPr>
          <w:sz w:val="24"/>
          <w:szCs w:val="24"/>
          <w:lang w:val="en-US"/>
        </w:rPr>
        <w:t>of</w:t>
      </w:r>
      <w:r w:rsidR="0072311D">
        <w:rPr>
          <w:sz w:val="24"/>
          <w:szCs w:val="24"/>
          <w:lang w:val="en-US"/>
        </w:rPr>
        <w:t xml:space="preserve"> something else. </w:t>
      </w:r>
    </w:p>
    <w:p w:rsidR="00117CD5" w:rsidRPr="00E725E0" w:rsidRDefault="00B95833" w:rsidP="007F1EE1">
      <w:pPr>
        <w:jc w:val="both"/>
        <w:rPr>
          <w:sz w:val="24"/>
          <w:szCs w:val="24"/>
          <w:lang w:val="en-US"/>
        </w:rPr>
      </w:pPr>
      <w:r>
        <w:rPr>
          <w:sz w:val="24"/>
          <w:szCs w:val="24"/>
          <w:lang w:val="en-US"/>
        </w:rPr>
        <w:tab/>
      </w:r>
      <w:r w:rsidR="00853E1F">
        <w:rPr>
          <w:sz w:val="24"/>
          <w:szCs w:val="24"/>
          <w:lang w:val="en-US"/>
        </w:rPr>
        <w:t xml:space="preserve">Instead of </w:t>
      </w:r>
      <w:r w:rsidR="00853E1F" w:rsidRPr="00E725E0">
        <w:rPr>
          <w:sz w:val="24"/>
          <w:szCs w:val="24"/>
          <w:lang w:val="en-US"/>
        </w:rPr>
        <w:t xml:space="preserve">dismissing the efficiency account, however, I will explore it more fully. There are at least three </w:t>
      </w:r>
      <w:r w:rsidR="004E6861" w:rsidRPr="00E725E0">
        <w:rPr>
          <w:sz w:val="24"/>
          <w:szCs w:val="24"/>
          <w:lang w:val="en-US"/>
        </w:rPr>
        <w:t>variations</w:t>
      </w:r>
      <w:r w:rsidR="00F03D1E" w:rsidRPr="00E725E0">
        <w:rPr>
          <w:sz w:val="24"/>
          <w:szCs w:val="24"/>
          <w:lang w:val="en-US"/>
        </w:rPr>
        <w:t xml:space="preserve"> of the efficiency claim</w:t>
      </w:r>
      <w:r w:rsidR="002106C7" w:rsidRPr="00E725E0">
        <w:rPr>
          <w:sz w:val="24"/>
          <w:szCs w:val="24"/>
          <w:lang w:val="en-US"/>
        </w:rPr>
        <w:t xml:space="preserve">. The first </w:t>
      </w:r>
      <w:r w:rsidR="004E6861" w:rsidRPr="00E725E0">
        <w:rPr>
          <w:sz w:val="24"/>
          <w:szCs w:val="24"/>
          <w:lang w:val="en-US"/>
        </w:rPr>
        <w:t>version</w:t>
      </w:r>
      <w:r w:rsidR="002106C7" w:rsidRPr="00E725E0">
        <w:rPr>
          <w:sz w:val="24"/>
          <w:szCs w:val="24"/>
          <w:lang w:val="en-US"/>
        </w:rPr>
        <w:t xml:space="preserve"> posits that</w:t>
      </w:r>
      <w:r w:rsidR="00180A76" w:rsidRPr="00E725E0">
        <w:rPr>
          <w:sz w:val="24"/>
          <w:szCs w:val="24"/>
          <w:lang w:val="en-US"/>
        </w:rPr>
        <w:t xml:space="preserve"> </w:t>
      </w:r>
      <w:r w:rsidR="002106C7" w:rsidRPr="00E725E0">
        <w:rPr>
          <w:sz w:val="24"/>
          <w:szCs w:val="24"/>
          <w:lang w:val="en-US"/>
        </w:rPr>
        <w:t xml:space="preserve">the best response to </w:t>
      </w:r>
      <w:r w:rsidR="00180A76" w:rsidRPr="00E725E0">
        <w:rPr>
          <w:sz w:val="24"/>
          <w:szCs w:val="24"/>
          <w:lang w:val="en-US"/>
        </w:rPr>
        <w:t xml:space="preserve">some of </w:t>
      </w:r>
      <w:r w:rsidR="002106C7" w:rsidRPr="00E725E0">
        <w:rPr>
          <w:sz w:val="24"/>
          <w:szCs w:val="24"/>
          <w:lang w:val="en-US"/>
        </w:rPr>
        <w:t>the agency problems and externalities</w:t>
      </w:r>
      <w:r w:rsidR="00180A76" w:rsidRPr="00E725E0">
        <w:rPr>
          <w:sz w:val="24"/>
          <w:szCs w:val="24"/>
          <w:lang w:val="en-US"/>
        </w:rPr>
        <w:t xml:space="preserve"> produced</w:t>
      </w:r>
      <w:r w:rsidR="002106C7" w:rsidRPr="00E725E0">
        <w:rPr>
          <w:sz w:val="24"/>
          <w:szCs w:val="24"/>
          <w:lang w:val="en-US"/>
        </w:rPr>
        <w:t xml:space="preserve"> by the corporate form is </w:t>
      </w:r>
      <w:r w:rsidR="004407DF" w:rsidRPr="00E725E0">
        <w:rPr>
          <w:sz w:val="24"/>
          <w:szCs w:val="24"/>
          <w:lang w:val="en-US"/>
        </w:rPr>
        <w:t xml:space="preserve">to </w:t>
      </w:r>
      <w:r w:rsidR="002106C7" w:rsidRPr="00E725E0">
        <w:rPr>
          <w:sz w:val="24"/>
          <w:szCs w:val="24"/>
          <w:lang w:val="en-US"/>
        </w:rPr>
        <w:t>mitigat</w:t>
      </w:r>
      <w:r w:rsidR="004407DF" w:rsidRPr="00E725E0">
        <w:rPr>
          <w:sz w:val="24"/>
          <w:szCs w:val="24"/>
          <w:lang w:val="en-US"/>
        </w:rPr>
        <w:t>e</w:t>
      </w:r>
      <w:r w:rsidR="002106C7" w:rsidRPr="00E725E0">
        <w:rPr>
          <w:sz w:val="24"/>
          <w:szCs w:val="24"/>
          <w:lang w:val="en-US"/>
        </w:rPr>
        <w:t xml:space="preserve"> the strength of its core elements.</w:t>
      </w:r>
      <w:r w:rsidR="00117CD5" w:rsidRPr="00E725E0">
        <w:rPr>
          <w:sz w:val="24"/>
          <w:szCs w:val="24"/>
          <w:lang w:val="en-US"/>
        </w:rPr>
        <w:t xml:space="preserve"> This </w:t>
      </w:r>
      <w:r w:rsidR="00180A76" w:rsidRPr="00E725E0">
        <w:rPr>
          <w:sz w:val="24"/>
          <w:szCs w:val="24"/>
          <w:lang w:val="en-US"/>
        </w:rPr>
        <w:t>is an argument of general applicability</w:t>
      </w:r>
      <w:r w:rsidR="00117CD5" w:rsidRPr="00E725E0">
        <w:rPr>
          <w:sz w:val="24"/>
          <w:szCs w:val="24"/>
          <w:lang w:val="en-US"/>
        </w:rPr>
        <w:t xml:space="preserve">, </w:t>
      </w:r>
      <w:r w:rsidR="00180A76" w:rsidRPr="00E725E0">
        <w:rPr>
          <w:sz w:val="24"/>
          <w:szCs w:val="24"/>
          <w:lang w:val="en-US"/>
        </w:rPr>
        <w:t>and does not depend on the</w:t>
      </w:r>
      <w:r w:rsidR="00117CD5" w:rsidRPr="00E725E0">
        <w:rPr>
          <w:sz w:val="24"/>
          <w:szCs w:val="24"/>
          <w:lang w:val="en-US"/>
        </w:rPr>
        <w:t xml:space="preserve"> particular characteristics of the Brazilian environment.</w:t>
      </w:r>
      <w:r w:rsidR="001638C5" w:rsidRPr="00E725E0">
        <w:rPr>
          <w:sz w:val="24"/>
          <w:szCs w:val="24"/>
          <w:lang w:val="en-US"/>
        </w:rPr>
        <w:t xml:space="preserve"> </w:t>
      </w:r>
      <w:r w:rsidR="00180A76" w:rsidRPr="00E725E0">
        <w:rPr>
          <w:sz w:val="24"/>
          <w:szCs w:val="24"/>
          <w:lang w:val="en-US"/>
        </w:rPr>
        <w:t>By contrast, the two other</w:t>
      </w:r>
      <w:r w:rsidR="001638C5" w:rsidRPr="00E725E0">
        <w:rPr>
          <w:sz w:val="24"/>
          <w:szCs w:val="24"/>
          <w:lang w:val="en-US"/>
        </w:rPr>
        <w:t xml:space="preserve"> variations of the efficiency account are, in essence, second-best arguments.</w:t>
      </w:r>
      <w:r w:rsidR="00503C1F" w:rsidRPr="00E725E0">
        <w:rPr>
          <w:rStyle w:val="Refdenotaderodap"/>
          <w:sz w:val="24"/>
          <w:szCs w:val="24"/>
          <w:lang w:val="en-US"/>
        </w:rPr>
        <w:footnoteReference w:id="199"/>
      </w:r>
    </w:p>
    <w:p w:rsidR="00E621E0" w:rsidRDefault="001638C5" w:rsidP="007F1EE1">
      <w:pPr>
        <w:jc w:val="both"/>
        <w:rPr>
          <w:sz w:val="24"/>
          <w:szCs w:val="24"/>
          <w:lang w:val="en-US"/>
        </w:rPr>
      </w:pPr>
      <w:r w:rsidRPr="00E725E0">
        <w:rPr>
          <w:sz w:val="24"/>
          <w:szCs w:val="24"/>
          <w:lang w:val="en-US"/>
        </w:rPr>
        <w:tab/>
        <w:t xml:space="preserve">The second version of the efficiency argument </w:t>
      </w:r>
      <w:proofErr w:type="gramStart"/>
      <w:r w:rsidRPr="00E725E0">
        <w:rPr>
          <w:sz w:val="24"/>
          <w:szCs w:val="24"/>
          <w:lang w:val="en-US"/>
        </w:rPr>
        <w:t>is</w:t>
      </w:r>
      <w:r w:rsidR="00E621E0" w:rsidRPr="00E725E0">
        <w:rPr>
          <w:sz w:val="24"/>
          <w:szCs w:val="24"/>
          <w:lang w:val="en-US"/>
        </w:rPr>
        <w:t xml:space="preserve"> based</w:t>
      </w:r>
      <w:proofErr w:type="gramEnd"/>
      <w:r w:rsidR="00E621E0" w:rsidRPr="00E725E0">
        <w:rPr>
          <w:sz w:val="24"/>
          <w:szCs w:val="24"/>
          <w:lang w:val="en-US"/>
        </w:rPr>
        <w:t xml:space="preserve"> on the notion of </w:t>
      </w:r>
      <w:r w:rsidR="00E621E0" w:rsidRPr="00B96E54">
        <w:rPr>
          <w:sz w:val="24"/>
          <w:szCs w:val="24"/>
          <w:lang w:val="en-US"/>
        </w:rPr>
        <w:t>institutional complementarities</w:t>
      </w:r>
      <w:r w:rsidR="00E621E0" w:rsidRPr="00E725E0">
        <w:rPr>
          <w:sz w:val="24"/>
          <w:szCs w:val="24"/>
          <w:lang w:val="en-US"/>
        </w:rPr>
        <w:t>.</w:t>
      </w:r>
      <w:r w:rsidR="00B96E54" w:rsidRPr="00E725E0">
        <w:rPr>
          <w:rStyle w:val="Refdenotaderodap"/>
          <w:sz w:val="24"/>
          <w:szCs w:val="24"/>
          <w:lang w:val="en-US"/>
        </w:rPr>
        <w:footnoteReference w:id="200"/>
      </w:r>
      <w:r w:rsidR="00E621E0" w:rsidRPr="00E725E0">
        <w:rPr>
          <w:sz w:val="24"/>
          <w:szCs w:val="24"/>
          <w:lang w:val="en-US"/>
        </w:rPr>
        <w:t xml:space="preserve"> It postulates</w:t>
      </w:r>
      <w:r w:rsidRPr="00E725E0">
        <w:rPr>
          <w:sz w:val="24"/>
          <w:szCs w:val="24"/>
          <w:lang w:val="en-US"/>
        </w:rPr>
        <w:t xml:space="preserve"> that the core elements of the corporate form will only work </w:t>
      </w:r>
      <w:r w:rsidR="00E621E0" w:rsidRPr="00E725E0">
        <w:rPr>
          <w:sz w:val="24"/>
          <w:szCs w:val="24"/>
          <w:lang w:val="en-US"/>
        </w:rPr>
        <w:t>satisfactorily</w:t>
      </w:r>
      <w:r w:rsidRPr="00E725E0">
        <w:rPr>
          <w:sz w:val="24"/>
          <w:szCs w:val="24"/>
          <w:lang w:val="en-US"/>
        </w:rPr>
        <w:t xml:space="preserve"> </w:t>
      </w:r>
      <w:r w:rsidR="00E621E0" w:rsidRPr="00E725E0">
        <w:rPr>
          <w:sz w:val="24"/>
          <w:szCs w:val="24"/>
          <w:lang w:val="en-US"/>
        </w:rPr>
        <w:t xml:space="preserve">in </w:t>
      </w:r>
      <w:r w:rsidRPr="00E725E0">
        <w:rPr>
          <w:sz w:val="24"/>
          <w:szCs w:val="24"/>
          <w:lang w:val="en-US"/>
        </w:rPr>
        <w:t xml:space="preserve">the presence of complementary mechanisms of shareholder protection, creditor protection, and regulation to protect external constituencies. The absence of a strong legal regime </w:t>
      </w:r>
      <w:r w:rsidR="00DC18BB">
        <w:rPr>
          <w:sz w:val="24"/>
          <w:szCs w:val="24"/>
          <w:lang w:val="en-US"/>
        </w:rPr>
        <w:t>to that effect, in turn,</w:t>
      </w:r>
      <w:r w:rsidR="000A0D9A">
        <w:rPr>
          <w:sz w:val="24"/>
          <w:szCs w:val="24"/>
          <w:lang w:val="en-US"/>
        </w:rPr>
        <w:t xml:space="preserve"> may warrant</w:t>
      </w:r>
      <w:r w:rsidRPr="00E725E0">
        <w:rPr>
          <w:sz w:val="24"/>
          <w:szCs w:val="24"/>
          <w:lang w:val="en-US"/>
        </w:rPr>
        <w:t xml:space="preserve"> </w:t>
      </w:r>
      <w:r w:rsidR="00E621E0" w:rsidRPr="00E725E0">
        <w:rPr>
          <w:sz w:val="24"/>
          <w:szCs w:val="24"/>
          <w:lang w:val="en-US"/>
        </w:rPr>
        <w:t xml:space="preserve">the mitigation of the corporate attributes </w:t>
      </w:r>
      <w:r w:rsidR="00E621E0">
        <w:rPr>
          <w:sz w:val="24"/>
          <w:szCs w:val="24"/>
          <w:lang w:val="en-US"/>
        </w:rPr>
        <w:t>in developing countries. This is an argument that, in turn, would favor similar developments in emerging economies with similar institutional deficiencies, well beyond Brazil.</w:t>
      </w:r>
    </w:p>
    <w:p w:rsidR="002106C7" w:rsidRDefault="00E621E0" w:rsidP="00070FCD">
      <w:pPr>
        <w:jc w:val="both"/>
        <w:rPr>
          <w:sz w:val="24"/>
          <w:szCs w:val="24"/>
          <w:lang w:val="en-US"/>
        </w:rPr>
      </w:pPr>
      <w:r>
        <w:rPr>
          <w:sz w:val="24"/>
          <w:szCs w:val="24"/>
          <w:lang w:val="en-US"/>
        </w:rPr>
        <w:tab/>
        <w:t>The third efficiency interpretation</w:t>
      </w:r>
      <w:r w:rsidR="00751978">
        <w:rPr>
          <w:sz w:val="24"/>
          <w:szCs w:val="24"/>
          <w:lang w:val="en-US"/>
        </w:rPr>
        <w:t>, which reinforces the two prior arguments,</w:t>
      </w:r>
      <w:r>
        <w:rPr>
          <w:sz w:val="24"/>
          <w:szCs w:val="24"/>
          <w:lang w:val="en-US"/>
        </w:rPr>
        <w:t xml:space="preserve"> relies on the interdependence between the elements of the corporate form. Given </w:t>
      </w:r>
      <w:r w:rsidR="000A0D9A">
        <w:rPr>
          <w:sz w:val="24"/>
          <w:szCs w:val="24"/>
          <w:lang w:val="en-US"/>
        </w:rPr>
        <w:t xml:space="preserve">the </w:t>
      </w:r>
      <w:r w:rsidR="000A0D9A">
        <w:rPr>
          <w:sz w:val="24"/>
          <w:szCs w:val="24"/>
          <w:lang w:val="en-US"/>
        </w:rPr>
        <w:lastRenderedPageBreak/>
        <w:t>strong complementarity among them</w:t>
      </w:r>
      <w:r>
        <w:rPr>
          <w:sz w:val="24"/>
          <w:szCs w:val="24"/>
          <w:lang w:val="en-US"/>
        </w:rPr>
        <w:t>, the elimination of one</w:t>
      </w:r>
      <w:r w:rsidR="004F1BC6">
        <w:rPr>
          <w:sz w:val="24"/>
          <w:szCs w:val="24"/>
          <w:lang w:val="en-US"/>
        </w:rPr>
        <w:t xml:space="preserve"> or more</w:t>
      </w:r>
      <w:r>
        <w:rPr>
          <w:sz w:val="24"/>
          <w:szCs w:val="24"/>
          <w:lang w:val="en-US"/>
        </w:rPr>
        <w:t xml:space="preserve"> of the </w:t>
      </w:r>
      <w:r w:rsidR="000A0D9A">
        <w:rPr>
          <w:sz w:val="24"/>
          <w:szCs w:val="24"/>
          <w:lang w:val="en-US"/>
        </w:rPr>
        <w:t>attributes</w:t>
      </w:r>
      <w:r>
        <w:rPr>
          <w:sz w:val="24"/>
          <w:szCs w:val="24"/>
          <w:lang w:val="en-US"/>
        </w:rPr>
        <w:t xml:space="preserve"> weakens the case for the persistence of the other</w:t>
      </w:r>
      <w:r w:rsidR="000A0D9A">
        <w:rPr>
          <w:sz w:val="24"/>
          <w:szCs w:val="24"/>
          <w:lang w:val="en-US"/>
        </w:rPr>
        <w:t>s</w:t>
      </w:r>
      <w:r>
        <w:rPr>
          <w:sz w:val="24"/>
          <w:szCs w:val="24"/>
          <w:lang w:val="en-US"/>
        </w:rPr>
        <w:t>.</w:t>
      </w:r>
      <w:r w:rsidR="00AF5800">
        <w:rPr>
          <w:sz w:val="24"/>
          <w:szCs w:val="24"/>
          <w:lang w:val="en-US"/>
        </w:rPr>
        <w:t xml:space="preserve"> </w:t>
      </w:r>
      <w:proofErr w:type="gramStart"/>
      <w:r w:rsidR="00E93A79">
        <w:rPr>
          <w:sz w:val="24"/>
          <w:szCs w:val="24"/>
          <w:lang w:val="en-US"/>
        </w:rPr>
        <w:t>Similarly</w:t>
      </w:r>
      <w:proofErr w:type="gramEnd"/>
      <w:r w:rsidR="00503C1F">
        <w:rPr>
          <w:sz w:val="24"/>
          <w:szCs w:val="24"/>
          <w:lang w:val="en-US"/>
        </w:rPr>
        <w:t xml:space="preserve"> </w:t>
      </w:r>
      <w:r w:rsidR="00E93A79">
        <w:rPr>
          <w:sz w:val="24"/>
          <w:szCs w:val="24"/>
          <w:lang w:val="en-US"/>
        </w:rPr>
        <w:t xml:space="preserve">to the </w:t>
      </w:r>
      <w:r w:rsidR="00503C1F">
        <w:rPr>
          <w:sz w:val="24"/>
          <w:szCs w:val="24"/>
          <w:lang w:val="en-US"/>
        </w:rPr>
        <w:t>general theor</w:t>
      </w:r>
      <w:r w:rsidR="00650902">
        <w:rPr>
          <w:sz w:val="24"/>
          <w:szCs w:val="24"/>
          <w:lang w:val="en-US"/>
        </w:rPr>
        <w:t>y of</w:t>
      </w:r>
      <w:r w:rsidR="00503C1F">
        <w:rPr>
          <w:sz w:val="24"/>
          <w:szCs w:val="24"/>
          <w:lang w:val="en-US"/>
        </w:rPr>
        <w:t xml:space="preserve"> second best</w:t>
      </w:r>
      <w:r w:rsidR="00E93A79">
        <w:rPr>
          <w:sz w:val="24"/>
          <w:szCs w:val="24"/>
          <w:lang w:val="en-US"/>
        </w:rPr>
        <w:t xml:space="preserve"> in microeconomics</w:t>
      </w:r>
      <w:r w:rsidR="00503C1F">
        <w:rPr>
          <w:sz w:val="24"/>
          <w:szCs w:val="24"/>
          <w:lang w:val="en-US"/>
        </w:rPr>
        <w:t>, the elimination of one of the p</w:t>
      </w:r>
      <w:r w:rsidR="00E93A79">
        <w:rPr>
          <w:sz w:val="24"/>
          <w:szCs w:val="24"/>
          <w:lang w:val="en-US"/>
        </w:rPr>
        <w:t>illars of the efficient regime</w:t>
      </w:r>
      <w:r w:rsidR="00503C1F">
        <w:rPr>
          <w:sz w:val="24"/>
          <w:szCs w:val="24"/>
          <w:lang w:val="en-US"/>
        </w:rPr>
        <w:t xml:space="preserve"> </w:t>
      </w:r>
      <w:r w:rsidR="00E93A79">
        <w:rPr>
          <w:sz w:val="24"/>
          <w:szCs w:val="24"/>
          <w:lang w:val="en-US"/>
        </w:rPr>
        <w:t xml:space="preserve">erodes </w:t>
      </w:r>
      <w:r w:rsidR="00503C1F">
        <w:rPr>
          <w:sz w:val="24"/>
          <w:szCs w:val="24"/>
          <w:lang w:val="en-US"/>
        </w:rPr>
        <w:t xml:space="preserve">the justification for </w:t>
      </w:r>
      <w:r w:rsidR="00650902">
        <w:rPr>
          <w:sz w:val="24"/>
          <w:szCs w:val="24"/>
          <w:lang w:val="en-US"/>
        </w:rPr>
        <w:t>the</w:t>
      </w:r>
      <w:r w:rsidR="00503C1F">
        <w:rPr>
          <w:sz w:val="24"/>
          <w:szCs w:val="24"/>
          <w:lang w:val="en-US"/>
        </w:rPr>
        <w:t xml:space="preserve"> others. </w:t>
      </w:r>
      <w:r w:rsidR="00AF5800">
        <w:rPr>
          <w:sz w:val="24"/>
          <w:szCs w:val="24"/>
          <w:lang w:val="en-US"/>
        </w:rPr>
        <w:t xml:space="preserve">  </w:t>
      </w:r>
      <w:r w:rsidR="00117CD5">
        <w:rPr>
          <w:sz w:val="24"/>
          <w:szCs w:val="24"/>
          <w:lang w:val="en-US"/>
        </w:rPr>
        <w:t xml:space="preserve"> </w:t>
      </w:r>
    </w:p>
    <w:p w:rsidR="00C2223D" w:rsidRPr="00E725E0" w:rsidRDefault="00E725E0" w:rsidP="004F1BC6">
      <w:pPr>
        <w:keepNext/>
        <w:jc w:val="both"/>
        <w:rPr>
          <w:i/>
          <w:sz w:val="24"/>
          <w:szCs w:val="24"/>
          <w:lang w:val="en-US"/>
        </w:rPr>
      </w:pPr>
      <w:r>
        <w:rPr>
          <w:sz w:val="24"/>
          <w:szCs w:val="24"/>
          <w:lang w:val="en-US"/>
        </w:rPr>
        <w:tab/>
        <w:t>1.</w:t>
      </w:r>
      <w:r w:rsidR="00C2223D">
        <w:rPr>
          <w:sz w:val="24"/>
          <w:szCs w:val="24"/>
          <w:lang w:val="en-US"/>
        </w:rPr>
        <w:tab/>
      </w:r>
      <w:r w:rsidR="00C2223D" w:rsidRPr="00E725E0">
        <w:rPr>
          <w:i/>
          <w:sz w:val="24"/>
          <w:szCs w:val="24"/>
          <w:lang w:val="en-US"/>
        </w:rPr>
        <w:t>Limited liability</w:t>
      </w:r>
    </w:p>
    <w:p w:rsidR="00C91516" w:rsidRDefault="00070FCD" w:rsidP="00C91516">
      <w:pPr>
        <w:ind w:firstLine="708"/>
        <w:jc w:val="both"/>
        <w:rPr>
          <w:sz w:val="24"/>
          <w:szCs w:val="24"/>
          <w:lang w:val="en-US"/>
        </w:rPr>
      </w:pPr>
      <w:r>
        <w:rPr>
          <w:sz w:val="24"/>
          <w:szCs w:val="24"/>
          <w:lang w:val="en-US"/>
        </w:rPr>
        <w:t xml:space="preserve">To explore the potential of </w:t>
      </w:r>
      <w:r w:rsidR="00B37F1A">
        <w:rPr>
          <w:sz w:val="24"/>
          <w:szCs w:val="24"/>
          <w:lang w:val="en-US"/>
        </w:rPr>
        <w:t>efficiency considerations in explaining</w:t>
      </w:r>
      <w:r>
        <w:rPr>
          <w:sz w:val="24"/>
          <w:szCs w:val="24"/>
          <w:lang w:val="en-US"/>
        </w:rPr>
        <w:t xml:space="preserve"> the mitigation of corporate attributes, let us begin by the</w:t>
      </w:r>
      <w:r w:rsidR="006844E3">
        <w:rPr>
          <w:sz w:val="24"/>
          <w:szCs w:val="24"/>
          <w:lang w:val="en-US"/>
        </w:rPr>
        <w:t xml:space="preserve"> attribute of limited liability. The application of limited liability to involuntary creditors</w:t>
      </w:r>
      <w:r w:rsidR="00600D7A">
        <w:rPr>
          <w:sz w:val="24"/>
          <w:szCs w:val="24"/>
          <w:lang w:val="en-US"/>
        </w:rPr>
        <w:t xml:space="preserve"> has long been controversial.</w:t>
      </w:r>
      <w:bookmarkStart w:id="38" w:name="_Ref456345085"/>
      <w:r w:rsidR="00645378">
        <w:rPr>
          <w:rStyle w:val="Refdenotaderodap"/>
          <w:sz w:val="24"/>
          <w:szCs w:val="24"/>
          <w:lang w:val="en-US"/>
        </w:rPr>
        <w:footnoteReference w:id="201"/>
      </w:r>
      <w:bookmarkEnd w:id="38"/>
      <w:r w:rsidR="00600D7A">
        <w:rPr>
          <w:sz w:val="24"/>
          <w:szCs w:val="24"/>
          <w:lang w:val="en-US"/>
        </w:rPr>
        <w:t xml:space="preserve"> Straightforward economic analysis suggests that </w:t>
      </w:r>
      <w:r w:rsidR="006844E3">
        <w:rPr>
          <w:sz w:val="24"/>
          <w:szCs w:val="24"/>
          <w:lang w:val="en-US"/>
        </w:rPr>
        <w:t xml:space="preserve">limited liability encourages the imposition of externalities on third-parties, since shareholders benefit from </w:t>
      </w:r>
      <w:r w:rsidR="00FF0DED">
        <w:rPr>
          <w:sz w:val="24"/>
          <w:szCs w:val="24"/>
          <w:lang w:val="en-US"/>
        </w:rPr>
        <w:t>the upside of risky activities</w:t>
      </w:r>
      <w:r w:rsidR="006844E3">
        <w:rPr>
          <w:sz w:val="24"/>
          <w:szCs w:val="24"/>
          <w:lang w:val="en-US"/>
        </w:rPr>
        <w:t xml:space="preserve"> but are not responsible if certain </w:t>
      </w:r>
      <w:r w:rsidR="00FF0DED">
        <w:rPr>
          <w:sz w:val="24"/>
          <w:szCs w:val="24"/>
          <w:lang w:val="en-US"/>
        </w:rPr>
        <w:t>costs</w:t>
      </w:r>
      <w:r w:rsidR="006844E3">
        <w:rPr>
          <w:sz w:val="24"/>
          <w:szCs w:val="24"/>
          <w:lang w:val="en-US"/>
        </w:rPr>
        <w:t xml:space="preserve"> (e.g., of a systemic or envi</w:t>
      </w:r>
      <w:r w:rsidR="00C91516">
        <w:rPr>
          <w:sz w:val="24"/>
          <w:szCs w:val="24"/>
          <w:lang w:val="en-US"/>
        </w:rPr>
        <w:t xml:space="preserve">ronmental nature) materialize. </w:t>
      </w:r>
      <w:r w:rsidR="006844E3">
        <w:rPr>
          <w:sz w:val="24"/>
          <w:szCs w:val="24"/>
          <w:lang w:val="en-US"/>
        </w:rPr>
        <w:t>Accordingly, prominent scholars have advocated against the protection of limited liability for torts.</w:t>
      </w:r>
      <w:bookmarkStart w:id="39" w:name="_Ref456345086"/>
      <w:r w:rsidR="006844E3">
        <w:rPr>
          <w:rStyle w:val="Refdenotaderodap"/>
          <w:sz w:val="24"/>
          <w:szCs w:val="24"/>
          <w:lang w:val="en-US"/>
        </w:rPr>
        <w:footnoteReference w:id="202"/>
      </w:r>
      <w:bookmarkEnd w:id="39"/>
      <w:r w:rsidR="006844E3">
        <w:rPr>
          <w:sz w:val="24"/>
          <w:szCs w:val="24"/>
          <w:lang w:val="en-US"/>
        </w:rPr>
        <w:t xml:space="preserve"> </w:t>
      </w:r>
    </w:p>
    <w:p w:rsidR="00A1761F" w:rsidRDefault="00B40BBD" w:rsidP="007549B4">
      <w:pPr>
        <w:ind w:firstLine="708"/>
        <w:jc w:val="both"/>
        <w:rPr>
          <w:sz w:val="24"/>
          <w:szCs w:val="24"/>
          <w:lang w:val="en-US"/>
        </w:rPr>
      </w:pPr>
      <w:r>
        <w:rPr>
          <w:sz w:val="24"/>
          <w:szCs w:val="24"/>
          <w:lang w:val="en-US"/>
        </w:rPr>
        <w:t xml:space="preserve">Lucian </w:t>
      </w:r>
      <w:proofErr w:type="spellStart"/>
      <w:r>
        <w:rPr>
          <w:sz w:val="24"/>
          <w:szCs w:val="24"/>
          <w:lang w:val="en-US"/>
        </w:rPr>
        <w:t>Bebchuk</w:t>
      </w:r>
      <w:proofErr w:type="spellEnd"/>
      <w:r>
        <w:rPr>
          <w:sz w:val="24"/>
          <w:szCs w:val="24"/>
          <w:lang w:val="en-US"/>
        </w:rPr>
        <w:t xml:space="preserve"> and Jesse Fried</w:t>
      </w:r>
      <w:r w:rsidR="006844E3">
        <w:rPr>
          <w:sz w:val="24"/>
          <w:szCs w:val="24"/>
          <w:lang w:val="en-US"/>
        </w:rPr>
        <w:t xml:space="preserve"> have drawn a more general distinction between adjusting and non-adjusting creditors.</w:t>
      </w:r>
      <w:r w:rsidR="00C91516">
        <w:rPr>
          <w:rStyle w:val="Refdenotaderodap"/>
          <w:sz w:val="24"/>
          <w:szCs w:val="24"/>
          <w:lang w:val="en-US"/>
        </w:rPr>
        <w:footnoteReference w:id="203"/>
      </w:r>
      <w:r w:rsidR="006844E3">
        <w:rPr>
          <w:sz w:val="24"/>
          <w:szCs w:val="24"/>
          <w:lang w:val="en-US"/>
        </w:rPr>
        <w:t xml:space="preserve"> Even contractual creditors such as workers and consumers may be non-adjusting—and therefore comparable to tort victims—if their relatively small claims (combined with limited information and foresight) prevent them from adjusting their claims to account for the risk of default.</w:t>
      </w:r>
      <w:r w:rsidR="00C91516">
        <w:rPr>
          <w:rStyle w:val="Refdenotaderodap"/>
          <w:sz w:val="24"/>
          <w:szCs w:val="24"/>
          <w:lang w:val="en-US"/>
        </w:rPr>
        <w:footnoteReference w:id="204"/>
      </w:r>
      <w:r w:rsidR="006844E3">
        <w:rPr>
          <w:sz w:val="24"/>
          <w:szCs w:val="24"/>
          <w:lang w:val="en-US"/>
        </w:rPr>
        <w:t xml:space="preserve"> Extending the argument against limited liability from tort creditors to non-adjusting creditors is a </w:t>
      </w:r>
      <w:r w:rsidR="007549B4">
        <w:rPr>
          <w:sz w:val="24"/>
          <w:szCs w:val="24"/>
          <w:lang w:val="en-US"/>
        </w:rPr>
        <w:t xml:space="preserve">relatively </w:t>
      </w:r>
      <w:r w:rsidR="006844E3">
        <w:rPr>
          <w:sz w:val="24"/>
          <w:szCs w:val="24"/>
          <w:lang w:val="en-US"/>
        </w:rPr>
        <w:t xml:space="preserve">small step. </w:t>
      </w:r>
      <w:r w:rsidR="007549B4">
        <w:rPr>
          <w:sz w:val="24"/>
          <w:szCs w:val="24"/>
          <w:lang w:val="en-US"/>
        </w:rPr>
        <w:t xml:space="preserve">By taking it, one </w:t>
      </w:r>
      <w:r w:rsidR="005D7F84">
        <w:rPr>
          <w:sz w:val="24"/>
          <w:szCs w:val="24"/>
          <w:lang w:val="en-US"/>
        </w:rPr>
        <w:t>will</w:t>
      </w:r>
      <w:r w:rsidR="007549B4">
        <w:rPr>
          <w:sz w:val="24"/>
          <w:szCs w:val="24"/>
          <w:lang w:val="en-US"/>
        </w:rPr>
        <w:t xml:space="preserve"> conclude</w:t>
      </w:r>
      <w:r w:rsidR="006844E3">
        <w:rPr>
          <w:sz w:val="24"/>
          <w:szCs w:val="24"/>
          <w:lang w:val="en-US"/>
        </w:rPr>
        <w:t xml:space="preserve"> that the mitigation of limited liability in Brazil for the benefit of workers, consumers, and the environment is </w:t>
      </w:r>
      <w:r w:rsidR="006844E3" w:rsidRPr="0026253F">
        <w:rPr>
          <w:i/>
          <w:sz w:val="24"/>
          <w:szCs w:val="24"/>
          <w:lang w:val="en-US"/>
        </w:rPr>
        <w:t>the</w:t>
      </w:r>
      <w:r w:rsidR="006844E3">
        <w:rPr>
          <w:sz w:val="24"/>
          <w:szCs w:val="24"/>
          <w:lang w:val="en-US"/>
        </w:rPr>
        <w:t xml:space="preserve"> efficient outcome—not only in Brazil, </w:t>
      </w:r>
      <w:r w:rsidR="005D4C9C">
        <w:rPr>
          <w:sz w:val="24"/>
          <w:szCs w:val="24"/>
          <w:lang w:val="en-US"/>
        </w:rPr>
        <w:t>but also</w:t>
      </w:r>
      <w:r w:rsidR="006844E3">
        <w:rPr>
          <w:sz w:val="24"/>
          <w:szCs w:val="24"/>
          <w:lang w:val="en-US"/>
        </w:rPr>
        <w:t xml:space="preserve"> </w:t>
      </w:r>
      <w:r w:rsidR="00F92C91">
        <w:rPr>
          <w:sz w:val="24"/>
          <w:szCs w:val="24"/>
          <w:lang w:val="en-US"/>
        </w:rPr>
        <w:t>across the board</w:t>
      </w:r>
      <w:r w:rsidR="006844E3">
        <w:rPr>
          <w:sz w:val="24"/>
          <w:szCs w:val="24"/>
          <w:lang w:val="en-US"/>
        </w:rPr>
        <w:t>. This means</w:t>
      </w:r>
      <w:r w:rsidR="000E52E2">
        <w:rPr>
          <w:sz w:val="24"/>
          <w:szCs w:val="24"/>
          <w:lang w:val="en-US"/>
        </w:rPr>
        <w:t xml:space="preserve"> that</w:t>
      </w:r>
      <w:r w:rsidR="006844E3">
        <w:rPr>
          <w:sz w:val="24"/>
          <w:szCs w:val="24"/>
          <w:lang w:val="en-US"/>
        </w:rPr>
        <w:t xml:space="preserve">, while Brazilian law still falls short of </w:t>
      </w:r>
      <w:r w:rsidR="00927F7E">
        <w:rPr>
          <w:sz w:val="24"/>
          <w:szCs w:val="24"/>
          <w:lang w:val="en-US"/>
        </w:rPr>
        <w:t>eliminating</w:t>
      </w:r>
      <w:r w:rsidR="006844E3">
        <w:rPr>
          <w:sz w:val="24"/>
          <w:szCs w:val="24"/>
          <w:lang w:val="en-US"/>
        </w:rPr>
        <w:t xml:space="preserve"> limited liability against all non-adjusting creditors</w:t>
      </w:r>
      <w:r w:rsidR="00927F7E">
        <w:rPr>
          <w:sz w:val="24"/>
          <w:szCs w:val="24"/>
          <w:lang w:val="en-US"/>
        </w:rPr>
        <w:t xml:space="preserve"> (victims </w:t>
      </w:r>
      <w:r w:rsidR="007549B4">
        <w:rPr>
          <w:sz w:val="24"/>
          <w:szCs w:val="24"/>
          <w:lang w:val="en-US"/>
        </w:rPr>
        <w:t xml:space="preserve">of general torts </w:t>
      </w:r>
      <w:r w:rsidR="00EE7DC4">
        <w:rPr>
          <w:sz w:val="24"/>
          <w:szCs w:val="24"/>
          <w:lang w:val="en-US"/>
        </w:rPr>
        <w:t xml:space="preserve">are </w:t>
      </w:r>
      <w:proofErr w:type="gramStart"/>
      <w:r w:rsidR="00EE7DC4">
        <w:rPr>
          <w:sz w:val="24"/>
          <w:szCs w:val="24"/>
          <w:lang w:val="en-US"/>
        </w:rPr>
        <w:t>not always</w:t>
      </w:r>
      <w:r w:rsidR="00927F7E">
        <w:rPr>
          <w:sz w:val="24"/>
          <w:szCs w:val="24"/>
          <w:lang w:val="en-US"/>
        </w:rPr>
        <w:t xml:space="preserve"> unprotected</w:t>
      </w:r>
      <w:proofErr w:type="gramEnd"/>
      <w:r w:rsidR="00927F7E">
        <w:rPr>
          <w:sz w:val="24"/>
          <w:szCs w:val="24"/>
          <w:lang w:val="en-US"/>
        </w:rPr>
        <w:t>)</w:t>
      </w:r>
      <w:r w:rsidR="006844E3">
        <w:rPr>
          <w:sz w:val="24"/>
          <w:szCs w:val="24"/>
          <w:lang w:val="en-US"/>
        </w:rPr>
        <w:t>, it is ahead of other jurisdictions in overcoming inertia and interest group pressures blocking the ado</w:t>
      </w:r>
      <w:r w:rsidR="00E00419">
        <w:rPr>
          <w:sz w:val="24"/>
          <w:szCs w:val="24"/>
          <w:lang w:val="en-US"/>
        </w:rPr>
        <w:t xml:space="preserve">ption of the efficient regime. </w:t>
      </w:r>
    </w:p>
    <w:p w:rsidR="002D09BC" w:rsidRDefault="00E00419" w:rsidP="00DB530E">
      <w:pPr>
        <w:ind w:firstLine="708"/>
        <w:jc w:val="both"/>
        <w:rPr>
          <w:sz w:val="24"/>
          <w:szCs w:val="24"/>
          <w:lang w:val="en-US"/>
        </w:rPr>
      </w:pPr>
      <w:r>
        <w:rPr>
          <w:sz w:val="24"/>
          <w:szCs w:val="24"/>
          <w:lang w:val="en-US"/>
        </w:rPr>
        <w:t>T</w:t>
      </w:r>
      <w:r w:rsidR="003B5B1D">
        <w:rPr>
          <w:sz w:val="24"/>
          <w:szCs w:val="24"/>
          <w:lang w:val="en-US"/>
        </w:rPr>
        <w:t>he</w:t>
      </w:r>
      <w:r w:rsidR="006844E3">
        <w:rPr>
          <w:sz w:val="24"/>
          <w:szCs w:val="24"/>
          <w:lang w:val="en-US"/>
        </w:rPr>
        <w:t xml:space="preserve"> </w:t>
      </w:r>
      <w:r w:rsidR="00F930DE">
        <w:rPr>
          <w:sz w:val="24"/>
          <w:szCs w:val="24"/>
          <w:lang w:val="en-US"/>
        </w:rPr>
        <w:t>case for</w:t>
      </w:r>
      <w:r w:rsidR="00F92C91">
        <w:rPr>
          <w:sz w:val="24"/>
          <w:szCs w:val="24"/>
          <w:lang w:val="en-US"/>
        </w:rPr>
        <w:t xml:space="preserve"> </w:t>
      </w:r>
      <w:r w:rsidR="00F930DE">
        <w:rPr>
          <w:sz w:val="24"/>
          <w:szCs w:val="24"/>
          <w:lang w:val="en-US"/>
        </w:rPr>
        <w:t>enforcing lim</w:t>
      </w:r>
      <w:r w:rsidR="00BF461E">
        <w:rPr>
          <w:sz w:val="24"/>
          <w:szCs w:val="24"/>
          <w:lang w:val="en-US"/>
        </w:rPr>
        <w:t>ited liability and capital lock-</w:t>
      </w:r>
      <w:r w:rsidR="00F930DE">
        <w:rPr>
          <w:sz w:val="24"/>
          <w:szCs w:val="24"/>
          <w:lang w:val="en-US"/>
        </w:rPr>
        <w:t xml:space="preserve">in within the context of a corporate group is </w:t>
      </w:r>
      <w:r w:rsidR="00034D99">
        <w:rPr>
          <w:sz w:val="24"/>
          <w:szCs w:val="24"/>
          <w:lang w:val="en-US"/>
        </w:rPr>
        <w:t>less compelling</w:t>
      </w:r>
      <w:r w:rsidR="005D7F84">
        <w:rPr>
          <w:sz w:val="24"/>
          <w:szCs w:val="24"/>
          <w:lang w:val="en-US"/>
        </w:rPr>
        <w:t xml:space="preserve"> than</w:t>
      </w:r>
      <w:r w:rsidR="00034D99">
        <w:rPr>
          <w:sz w:val="24"/>
          <w:szCs w:val="24"/>
          <w:lang w:val="en-US"/>
        </w:rPr>
        <w:t xml:space="preserve"> outside of </w:t>
      </w:r>
      <w:r w:rsidR="005D7F84">
        <w:rPr>
          <w:sz w:val="24"/>
          <w:szCs w:val="24"/>
          <w:lang w:val="en-US"/>
        </w:rPr>
        <w:t>it</w:t>
      </w:r>
      <w:r w:rsidR="00F930DE">
        <w:rPr>
          <w:sz w:val="24"/>
          <w:szCs w:val="24"/>
          <w:lang w:val="en-US"/>
        </w:rPr>
        <w:t>.</w:t>
      </w:r>
      <w:bookmarkStart w:id="40" w:name="_Ref452991012"/>
      <w:r w:rsidR="00965BD4">
        <w:rPr>
          <w:rStyle w:val="Refdenotaderodap"/>
          <w:sz w:val="24"/>
          <w:szCs w:val="24"/>
          <w:lang w:val="en-US"/>
        </w:rPr>
        <w:footnoteReference w:id="205"/>
      </w:r>
      <w:bookmarkEnd w:id="40"/>
      <w:r w:rsidR="00F930DE">
        <w:rPr>
          <w:sz w:val="24"/>
          <w:szCs w:val="24"/>
          <w:lang w:val="en-US"/>
        </w:rPr>
        <w:t xml:space="preserve"> </w:t>
      </w:r>
      <w:r w:rsidR="000A19F1">
        <w:rPr>
          <w:sz w:val="24"/>
          <w:szCs w:val="24"/>
          <w:lang w:val="en-US"/>
        </w:rPr>
        <w:t xml:space="preserve">The </w:t>
      </w:r>
      <w:r w:rsidR="0085460A">
        <w:rPr>
          <w:sz w:val="24"/>
          <w:szCs w:val="24"/>
          <w:lang w:val="en-US"/>
        </w:rPr>
        <w:t xml:space="preserve">separation of assets within </w:t>
      </w:r>
      <w:r w:rsidR="0085460A">
        <w:rPr>
          <w:sz w:val="24"/>
          <w:szCs w:val="24"/>
          <w:lang w:val="en-US"/>
        </w:rPr>
        <w:lastRenderedPageBreak/>
        <w:t xml:space="preserve">the corporate group—what </w:t>
      </w:r>
      <w:proofErr w:type="spellStart"/>
      <w:r w:rsidR="0085460A">
        <w:rPr>
          <w:sz w:val="24"/>
          <w:szCs w:val="24"/>
          <w:lang w:val="en-US"/>
        </w:rPr>
        <w:t>Hansmann</w:t>
      </w:r>
      <w:proofErr w:type="spellEnd"/>
      <w:r w:rsidR="0085460A">
        <w:rPr>
          <w:sz w:val="24"/>
          <w:szCs w:val="24"/>
          <w:lang w:val="en-US"/>
        </w:rPr>
        <w:t xml:space="preserve"> and Squire dub “internal partitioning”—generates higher costs but provides only a fraction of the benefits </w:t>
      </w:r>
      <w:r w:rsidR="00AA753A">
        <w:rPr>
          <w:sz w:val="24"/>
          <w:szCs w:val="24"/>
          <w:lang w:val="en-US"/>
        </w:rPr>
        <w:t>compared to</w:t>
      </w:r>
      <w:r w:rsidR="0085460A">
        <w:rPr>
          <w:sz w:val="24"/>
          <w:szCs w:val="24"/>
          <w:lang w:val="en-US"/>
        </w:rPr>
        <w:t xml:space="preserve"> “external partitioning” vis-</w:t>
      </w:r>
      <w:r w:rsidR="007209A0">
        <w:rPr>
          <w:sz w:val="24"/>
          <w:szCs w:val="24"/>
          <w:lang w:val="en-US"/>
        </w:rPr>
        <w:t>à-vis the individual</w:t>
      </w:r>
      <w:r w:rsidR="005D7F84">
        <w:rPr>
          <w:sz w:val="24"/>
          <w:szCs w:val="24"/>
          <w:lang w:val="en-US"/>
        </w:rPr>
        <w:t>s</w:t>
      </w:r>
      <w:r w:rsidR="007209A0">
        <w:rPr>
          <w:sz w:val="24"/>
          <w:szCs w:val="24"/>
          <w:lang w:val="en-US"/>
        </w:rPr>
        <w:t xml:space="preserve"> who own the firm.</w:t>
      </w:r>
      <w:r w:rsidR="000D0BFA">
        <w:rPr>
          <w:rStyle w:val="Refdenotaderodap"/>
          <w:sz w:val="24"/>
          <w:szCs w:val="24"/>
          <w:lang w:val="en-US"/>
        </w:rPr>
        <w:footnoteReference w:id="206"/>
      </w:r>
      <w:r w:rsidR="007209A0">
        <w:rPr>
          <w:sz w:val="24"/>
          <w:szCs w:val="24"/>
          <w:lang w:val="en-US"/>
        </w:rPr>
        <w:t xml:space="preserve"> </w:t>
      </w:r>
      <w:r w:rsidR="0027287C">
        <w:rPr>
          <w:sz w:val="24"/>
          <w:szCs w:val="24"/>
          <w:lang w:val="en-US"/>
        </w:rPr>
        <w:t xml:space="preserve">Some of the benefits of lock-in and limited liability, such as </w:t>
      </w:r>
      <w:r w:rsidR="00DB0D41">
        <w:rPr>
          <w:sz w:val="24"/>
          <w:szCs w:val="24"/>
          <w:lang w:val="en-US"/>
        </w:rPr>
        <w:t xml:space="preserve">liquidity and the </w:t>
      </w:r>
      <w:r w:rsidR="0027287C">
        <w:rPr>
          <w:sz w:val="24"/>
          <w:szCs w:val="24"/>
          <w:lang w:val="en-US"/>
        </w:rPr>
        <w:t>reduced need to monitor other shareholders</w:t>
      </w:r>
      <w:r w:rsidR="00E83A89">
        <w:rPr>
          <w:sz w:val="24"/>
          <w:szCs w:val="24"/>
          <w:lang w:val="en-US"/>
        </w:rPr>
        <w:t xml:space="preserve">, are generally </w:t>
      </w:r>
      <w:r w:rsidR="005D7F84">
        <w:rPr>
          <w:sz w:val="24"/>
          <w:szCs w:val="24"/>
          <w:lang w:val="en-US"/>
        </w:rPr>
        <w:t>unavailable in non-pyramidal corporate groups</w:t>
      </w:r>
      <w:r w:rsidR="00E83A89">
        <w:rPr>
          <w:sz w:val="24"/>
          <w:szCs w:val="24"/>
          <w:lang w:val="en-US"/>
        </w:rPr>
        <w:t xml:space="preserve">. Others, such as reduced creditor information costs, </w:t>
      </w:r>
      <w:r w:rsidR="00E12E43">
        <w:rPr>
          <w:sz w:val="24"/>
          <w:szCs w:val="24"/>
          <w:lang w:val="en-US"/>
        </w:rPr>
        <w:t xml:space="preserve">are </w:t>
      </w:r>
      <w:r>
        <w:rPr>
          <w:sz w:val="24"/>
          <w:szCs w:val="24"/>
          <w:lang w:val="en-US"/>
        </w:rPr>
        <w:t xml:space="preserve">also </w:t>
      </w:r>
      <w:r w:rsidR="00213A55">
        <w:rPr>
          <w:sz w:val="24"/>
          <w:szCs w:val="24"/>
          <w:lang w:val="en-US"/>
        </w:rPr>
        <w:t>often unavailable</w:t>
      </w:r>
      <w:r>
        <w:rPr>
          <w:sz w:val="24"/>
          <w:szCs w:val="24"/>
          <w:lang w:val="en-US"/>
        </w:rPr>
        <w:t xml:space="preserve"> due to cross-guarantees</w:t>
      </w:r>
      <w:r w:rsidR="00E83A89">
        <w:rPr>
          <w:sz w:val="24"/>
          <w:szCs w:val="24"/>
          <w:lang w:val="en-US"/>
        </w:rPr>
        <w:t>.</w:t>
      </w:r>
      <w:r w:rsidR="00372F4F">
        <w:rPr>
          <w:rStyle w:val="Refdenotaderodap"/>
          <w:sz w:val="24"/>
          <w:szCs w:val="24"/>
          <w:lang w:val="en-US"/>
        </w:rPr>
        <w:footnoteReference w:id="207"/>
      </w:r>
      <w:r w:rsidR="00E83A89">
        <w:rPr>
          <w:sz w:val="24"/>
          <w:szCs w:val="24"/>
          <w:lang w:val="en-US"/>
        </w:rPr>
        <w:t xml:space="preserve"> </w:t>
      </w:r>
      <w:r w:rsidR="00331363">
        <w:rPr>
          <w:sz w:val="24"/>
          <w:szCs w:val="24"/>
          <w:lang w:val="en-US"/>
        </w:rPr>
        <w:t>A</w:t>
      </w:r>
      <w:r w:rsidR="009560DF">
        <w:rPr>
          <w:sz w:val="24"/>
          <w:szCs w:val="24"/>
          <w:lang w:val="en-US"/>
        </w:rPr>
        <w:t>t</w:t>
      </w:r>
      <w:r w:rsidR="00331363">
        <w:rPr>
          <w:sz w:val="24"/>
          <w:szCs w:val="24"/>
          <w:lang w:val="en-US"/>
        </w:rPr>
        <w:t xml:space="preserve"> the same time, the costs of these attributes are higher, as they encourage debtor opportunism</w:t>
      </w:r>
      <w:r w:rsidR="005D7F84">
        <w:rPr>
          <w:sz w:val="24"/>
          <w:szCs w:val="24"/>
          <w:lang w:val="en-US"/>
        </w:rPr>
        <w:t xml:space="preserve"> in shuffling assets between different companies in the group</w:t>
      </w:r>
      <w:r w:rsidR="00331363">
        <w:rPr>
          <w:sz w:val="24"/>
          <w:szCs w:val="24"/>
          <w:lang w:val="en-US"/>
        </w:rPr>
        <w:t>.</w:t>
      </w:r>
      <w:r w:rsidR="00372F4F">
        <w:rPr>
          <w:rStyle w:val="Refdenotaderodap"/>
          <w:sz w:val="24"/>
          <w:szCs w:val="24"/>
          <w:lang w:val="en-US"/>
        </w:rPr>
        <w:footnoteReference w:id="208"/>
      </w:r>
      <w:r w:rsidR="00331363">
        <w:rPr>
          <w:sz w:val="24"/>
          <w:szCs w:val="24"/>
          <w:lang w:val="en-US"/>
        </w:rPr>
        <w:t xml:space="preserve"> </w:t>
      </w:r>
      <w:r w:rsidR="00AC129E">
        <w:rPr>
          <w:sz w:val="24"/>
          <w:szCs w:val="24"/>
          <w:lang w:val="en-US"/>
        </w:rPr>
        <w:t xml:space="preserve">This line of reasoning </w:t>
      </w:r>
      <w:r w:rsidR="00263B08">
        <w:rPr>
          <w:sz w:val="24"/>
          <w:szCs w:val="24"/>
          <w:lang w:val="en-US"/>
        </w:rPr>
        <w:t>s</w:t>
      </w:r>
      <w:r w:rsidR="007636F5">
        <w:rPr>
          <w:sz w:val="24"/>
          <w:szCs w:val="24"/>
          <w:lang w:val="en-US"/>
        </w:rPr>
        <w:t xml:space="preserve">uggests that </w:t>
      </w:r>
      <w:r w:rsidR="00DB0D41">
        <w:rPr>
          <w:sz w:val="24"/>
          <w:szCs w:val="24"/>
          <w:lang w:val="en-US"/>
        </w:rPr>
        <w:t xml:space="preserve">the greater willingness of </w:t>
      </w:r>
      <w:r w:rsidR="007636F5">
        <w:rPr>
          <w:sz w:val="24"/>
          <w:szCs w:val="24"/>
          <w:lang w:val="en-US"/>
        </w:rPr>
        <w:t xml:space="preserve">Brazilian courts to grant substantive consolidation in bankruptcy may </w:t>
      </w:r>
      <w:r w:rsidR="00F80687">
        <w:rPr>
          <w:sz w:val="24"/>
          <w:szCs w:val="24"/>
          <w:lang w:val="en-US"/>
        </w:rPr>
        <w:t xml:space="preserve">well </w:t>
      </w:r>
      <w:r w:rsidR="004D0A62">
        <w:rPr>
          <w:sz w:val="24"/>
          <w:szCs w:val="24"/>
          <w:lang w:val="en-US"/>
        </w:rPr>
        <w:t>guarantee the most efficient outcome.</w:t>
      </w:r>
      <w:bookmarkStart w:id="41" w:name="_Ref456098469"/>
      <w:r w:rsidR="00DB530E">
        <w:rPr>
          <w:rStyle w:val="Refdenotaderodap"/>
          <w:sz w:val="24"/>
          <w:szCs w:val="24"/>
          <w:lang w:val="en-US"/>
        </w:rPr>
        <w:footnoteReference w:id="209"/>
      </w:r>
      <w:bookmarkEnd w:id="41"/>
      <w:r w:rsidR="004D0A62">
        <w:rPr>
          <w:sz w:val="24"/>
          <w:szCs w:val="24"/>
          <w:lang w:val="en-US"/>
        </w:rPr>
        <w:t xml:space="preserve"> </w:t>
      </w:r>
    </w:p>
    <w:p w:rsidR="00520282" w:rsidRDefault="00520282" w:rsidP="006844E3">
      <w:pPr>
        <w:ind w:firstLine="708"/>
        <w:jc w:val="both"/>
        <w:rPr>
          <w:sz w:val="24"/>
          <w:szCs w:val="24"/>
          <w:lang w:val="en-US"/>
        </w:rPr>
      </w:pPr>
      <w:r>
        <w:rPr>
          <w:sz w:val="24"/>
          <w:szCs w:val="24"/>
          <w:lang w:val="en-US"/>
        </w:rPr>
        <w:t>Similarly, t</w:t>
      </w:r>
      <w:r w:rsidR="008F48F4">
        <w:rPr>
          <w:sz w:val="24"/>
          <w:szCs w:val="24"/>
          <w:lang w:val="en-US"/>
        </w:rPr>
        <w:t xml:space="preserve">he </w:t>
      </w:r>
      <w:r>
        <w:rPr>
          <w:sz w:val="24"/>
          <w:szCs w:val="24"/>
          <w:lang w:val="en-US"/>
        </w:rPr>
        <w:t>existence of</w:t>
      </w:r>
      <w:r w:rsidR="008F48F4">
        <w:rPr>
          <w:sz w:val="24"/>
          <w:szCs w:val="24"/>
          <w:lang w:val="en-US"/>
        </w:rPr>
        <w:t xml:space="preserve"> </w:t>
      </w:r>
      <w:r w:rsidR="00F24579">
        <w:rPr>
          <w:sz w:val="24"/>
          <w:szCs w:val="24"/>
          <w:lang w:val="en-US"/>
        </w:rPr>
        <w:t xml:space="preserve">limited liability </w:t>
      </w:r>
      <w:r>
        <w:rPr>
          <w:sz w:val="24"/>
          <w:szCs w:val="24"/>
          <w:lang w:val="en-US"/>
        </w:rPr>
        <w:t>for shareholders of</w:t>
      </w:r>
      <w:r w:rsidR="00F24579">
        <w:rPr>
          <w:sz w:val="24"/>
          <w:szCs w:val="24"/>
          <w:lang w:val="en-US"/>
        </w:rPr>
        <w:t xml:space="preserve"> financial institutions has </w:t>
      </w:r>
      <w:r w:rsidR="00545CAF">
        <w:rPr>
          <w:sz w:val="24"/>
          <w:szCs w:val="24"/>
          <w:lang w:val="en-US"/>
        </w:rPr>
        <w:t>long attracted scholarly criticism</w:t>
      </w:r>
      <w:r w:rsidR="00BA727D">
        <w:rPr>
          <w:sz w:val="24"/>
          <w:szCs w:val="24"/>
          <w:lang w:val="en-US"/>
        </w:rPr>
        <w:t>,</w:t>
      </w:r>
      <w:r w:rsidR="006B5268">
        <w:rPr>
          <w:rStyle w:val="Refdenotaderodap"/>
          <w:sz w:val="24"/>
          <w:szCs w:val="24"/>
          <w:lang w:val="en-US"/>
        </w:rPr>
        <w:footnoteReference w:id="210"/>
      </w:r>
      <w:r w:rsidR="00BA727D">
        <w:rPr>
          <w:sz w:val="24"/>
          <w:szCs w:val="24"/>
          <w:lang w:val="en-US"/>
        </w:rPr>
        <w:t xml:space="preserve"> </w:t>
      </w:r>
      <w:r w:rsidR="00545CAF">
        <w:rPr>
          <w:sz w:val="24"/>
          <w:szCs w:val="24"/>
          <w:lang w:val="en-US"/>
        </w:rPr>
        <w:t>which only grew stronger since the global financial crisis</w:t>
      </w:r>
      <w:r w:rsidR="001E7F99">
        <w:rPr>
          <w:sz w:val="24"/>
          <w:szCs w:val="24"/>
          <w:lang w:val="en-US"/>
        </w:rPr>
        <w:t xml:space="preserve">. </w:t>
      </w:r>
      <w:r w:rsidR="001E2871">
        <w:rPr>
          <w:sz w:val="24"/>
          <w:szCs w:val="24"/>
          <w:lang w:val="en-US"/>
        </w:rPr>
        <w:t>The</w:t>
      </w:r>
      <w:r w:rsidR="0067613D">
        <w:rPr>
          <w:sz w:val="24"/>
          <w:szCs w:val="24"/>
          <w:lang w:val="en-US"/>
        </w:rPr>
        <w:t xml:space="preserve"> </w:t>
      </w:r>
      <w:r w:rsidR="00BA727D">
        <w:rPr>
          <w:sz w:val="24"/>
          <w:szCs w:val="24"/>
          <w:lang w:val="en-US"/>
        </w:rPr>
        <w:t>challenge to limited liability</w:t>
      </w:r>
      <w:r w:rsidR="003D3173">
        <w:rPr>
          <w:sz w:val="24"/>
          <w:szCs w:val="24"/>
          <w:lang w:val="en-US"/>
        </w:rPr>
        <w:t xml:space="preserve"> </w:t>
      </w:r>
      <w:r w:rsidR="00247ED5">
        <w:rPr>
          <w:sz w:val="24"/>
          <w:szCs w:val="24"/>
          <w:lang w:val="en-US"/>
        </w:rPr>
        <w:t xml:space="preserve">in this context </w:t>
      </w:r>
      <w:r w:rsidR="003D3173">
        <w:rPr>
          <w:sz w:val="24"/>
          <w:szCs w:val="24"/>
          <w:lang w:val="en-US"/>
        </w:rPr>
        <w:t xml:space="preserve">follows </w:t>
      </w:r>
      <w:r w:rsidR="001E2871">
        <w:rPr>
          <w:sz w:val="24"/>
          <w:szCs w:val="24"/>
          <w:lang w:val="en-US"/>
        </w:rPr>
        <w:t>the same</w:t>
      </w:r>
      <w:r w:rsidR="0067613D">
        <w:rPr>
          <w:sz w:val="24"/>
          <w:szCs w:val="24"/>
          <w:lang w:val="en-US"/>
        </w:rPr>
        <w:t xml:space="preserve"> logic: risk-taking by financial institutions can benefit shareholders, but the failure of systemically important financial institutions imposes significant negative externalities on the economy as a whole. </w:t>
      </w:r>
      <w:r>
        <w:rPr>
          <w:sz w:val="24"/>
          <w:szCs w:val="24"/>
          <w:lang w:val="en-US"/>
        </w:rPr>
        <w:t>In other words, limited liability exacerbates the problem of moral hazard</w:t>
      </w:r>
      <w:r w:rsidR="00247ED5">
        <w:rPr>
          <w:sz w:val="24"/>
          <w:szCs w:val="24"/>
          <w:lang w:val="en-US"/>
        </w:rPr>
        <w:t xml:space="preserve"> faced by financial institutions</w:t>
      </w:r>
      <w:r>
        <w:rPr>
          <w:sz w:val="24"/>
          <w:szCs w:val="24"/>
          <w:lang w:val="en-US"/>
        </w:rPr>
        <w:t>.</w:t>
      </w:r>
      <w:bookmarkStart w:id="42" w:name="_Ref454897910"/>
      <w:r>
        <w:rPr>
          <w:rStyle w:val="Refdenotaderodap"/>
          <w:sz w:val="24"/>
          <w:szCs w:val="24"/>
          <w:lang w:val="en-US"/>
        </w:rPr>
        <w:footnoteReference w:id="211"/>
      </w:r>
      <w:bookmarkEnd w:id="42"/>
      <w:r>
        <w:rPr>
          <w:sz w:val="24"/>
          <w:szCs w:val="24"/>
          <w:lang w:val="en-US"/>
        </w:rPr>
        <w:t xml:space="preserve"> </w:t>
      </w:r>
    </w:p>
    <w:p w:rsidR="002A7996" w:rsidRDefault="000F633A" w:rsidP="006844E3">
      <w:pPr>
        <w:ind w:firstLine="708"/>
        <w:jc w:val="both"/>
        <w:rPr>
          <w:sz w:val="24"/>
          <w:szCs w:val="24"/>
          <w:lang w:val="en-US"/>
        </w:rPr>
      </w:pPr>
      <w:r>
        <w:rPr>
          <w:sz w:val="24"/>
          <w:szCs w:val="24"/>
          <w:lang w:val="en-US"/>
        </w:rPr>
        <w:t>The tradit</w:t>
      </w:r>
      <w:r w:rsidR="00396121">
        <w:rPr>
          <w:sz w:val="24"/>
          <w:szCs w:val="24"/>
          <w:lang w:val="en-US"/>
        </w:rPr>
        <w:t>ional approach to this problem has been</w:t>
      </w:r>
      <w:r>
        <w:rPr>
          <w:sz w:val="24"/>
          <w:szCs w:val="24"/>
          <w:lang w:val="en-US"/>
        </w:rPr>
        <w:t xml:space="preserve"> </w:t>
      </w:r>
      <w:r w:rsidR="00396121">
        <w:rPr>
          <w:sz w:val="24"/>
          <w:szCs w:val="24"/>
          <w:lang w:val="en-US"/>
        </w:rPr>
        <w:t xml:space="preserve">the </w:t>
      </w:r>
      <w:r w:rsidR="00E326B8">
        <w:rPr>
          <w:sz w:val="24"/>
          <w:szCs w:val="24"/>
          <w:lang w:val="en-US"/>
        </w:rPr>
        <w:t xml:space="preserve">governmental </w:t>
      </w:r>
      <w:r w:rsidR="00396121">
        <w:rPr>
          <w:sz w:val="24"/>
          <w:szCs w:val="24"/>
          <w:lang w:val="en-US"/>
        </w:rPr>
        <w:t>imposition of prudential regulation</w:t>
      </w:r>
      <w:r w:rsidR="00E326B8">
        <w:rPr>
          <w:sz w:val="24"/>
          <w:szCs w:val="24"/>
          <w:lang w:val="en-US"/>
        </w:rPr>
        <w:t xml:space="preserve"> and the provision of deposit insurance</w:t>
      </w:r>
      <w:r w:rsidR="000D6D6F">
        <w:rPr>
          <w:sz w:val="24"/>
          <w:szCs w:val="24"/>
          <w:lang w:val="en-US"/>
        </w:rPr>
        <w:t xml:space="preserve">. Nevertheless, </w:t>
      </w:r>
      <w:r w:rsidR="00ED798D">
        <w:rPr>
          <w:sz w:val="24"/>
          <w:szCs w:val="24"/>
          <w:lang w:val="en-US"/>
        </w:rPr>
        <w:t xml:space="preserve">the </w:t>
      </w:r>
      <w:r w:rsidR="00396121">
        <w:rPr>
          <w:sz w:val="24"/>
          <w:szCs w:val="24"/>
          <w:lang w:val="en-US"/>
        </w:rPr>
        <w:t xml:space="preserve">clear </w:t>
      </w:r>
      <w:r w:rsidR="00ED798D">
        <w:rPr>
          <w:sz w:val="24"/>
          <w:szCs w:val="24"/>
          <w:lang w:val="en-US"/>
        </w:rPr>
        <w:t>failure of government regulation in the United States to prevent the global financial crisis</w:t>
      </w:r>
      <w:r w:rsidR="00545CAF">
        <w:rPr>
          <w:sz w:val="24"/>
          <w:szCs w:val="24"/>
          <w:lang w:val="en-US"/>
        </w:rPr>
        <w:t>—and, in fact, the perception</w:t>
      </w:r>
      <w:r w:rsidR="000E0192">
        <w:rPr>
          <w:sz w:val="24"/>
          <w:szCs w:val="24"/>
          <w:lang w:val="en-US"/>
        </w:rPr>
        <w:t xml:space="preserve"> that government policies </w:t>
      </w:r>
      <w:r w:rsidR="00396121">
        <w:rPr>
          <w:sz w:val="24"/>
          <w:szCs w:val="24"/>
          <w:lang w:val="en-US"/>
        </w:rPr>
        <w:t xml:space="preserve">may </w:t>
      </w:r>
      <w:r w:rsidR="000E0192">
        <w:rPr>
          <w:sz w:val="24"/>
          <w:szCs w:val="24"/>
          <w:lang w:val="en-US"/>
        </w:rPr>
        <w:t>have promoted</w:t>
      </w:r>
      <w:r w:rsidR="00545CAF">
        <w:rPr>
          <w:sz w:val="24"/>
          <w:szCs w:val="24"/>
          <w:lang w:val="en-US"/>
        </w:rPr>
        <w:t xml:space="preserve"> </w:t>
      </w:r>
      <w:r w:rsidR="000E0192">
        <w:rPr>
          <w:sz w:val="24"/>
          <w:szCs w:val="24"/>
          <w:lang w:val="en-US"/>
        </w:rPr>
        <w:t>risky behavior by financial institution</w:t>
      </w:r>
      <w:r w:rsidR="00396121">
        <w:rPr>
          <w:sz w:val="24"/>
          <w:szCs w:val="24"/>
          <w:lang w:val="en-US"/>
        </w:rPr>
        <w:t>s</w:t>
      </w:r>
      <w:r w:rsidR="00545CAF">
        <w:rPr>
          <w:sz w:val="24"/>
          <w:szCs w:val="24"/>
          <w:lang w:val="en-US"/>
        </w:rPr>
        <w:t xml:space="preserve">—has cast doubt on the effectiveness of this solution. </w:t>
      </w:r>
      <w:r w:rsidR="000E0192">
        <w:rPr>
          <w:sz w:val="24"/>
          <w:szCs w:val="24"/>
          <w:lang w:val="en-US"/>
        </w:rPr>
        <w:t xml:space="preserve">Consequently, new calls for the </w:t>
      </w:r>
      <w:r w:rsidR="008D4FF8">
        <w:rPr>
          <w:sz w:val="24"/>
          <w:szCs w:val="24"/>
          <w:lang w:val="en-US"/>
        </w:rPr>
        <w:t>mitigation</w:t>
      </w:r>
      <w:r w:rsidR="000E0192">
        <w:rPr>
          <w:sz w:val="24"/>
          <w:szCs w:val="24"/>
          <w:lang w:val="en-US"/>
        </w:rPr>
        <w:t xml:space="preserve"> or elimination of limited liability for financial institutions have reemerged</w:t>
      </w:r>
      <w:r w:rsidR="008D4FF8">
        <w:rPr>
          <w:sz w:val="24"/>
          <w:szCs w:val="24"/>
          <w:lang w:val="en-US"/>
        </w:rPr>
        <w:t>, in various forms</w:t>
      </w:r>
      <w:r w:rsidR="000E0192">
        <w:rPr>
          <w:sz w:val="24"/>
          <w:szCs w:val="24"/>
          <w:lang w:val="en-US"/>
        </w:rPr>
        <w:t>.</w:t>
      </w:r>
      <w:r w:rsidR="00483700">
        <w:rPr>
          <w:rStyle w:val="Refdenotaderodap"/>
          <w:sz w:val="24"/>
          <w:szCs w:val="24"/>
          <w:lang w:val="en-US"/>
        </w:rPr>
        <w:footnoteReference w:id="212"/>
      </w:r>
      <w:r w:rsidR="000E0192">
        <w:rPr>
          <w:sz w:val="24"/>
          <w:szCs w:val="24"/>
          <w:lang w:val="en-US"/>
        </w:rPr>
        <w:t xml:space="preserve"> </w:t>
      </w:r>
      <w:r w:rsidR="00324042">
        <w:rPr>
          <w:sz w:val="24"/>
          <w:szCs w:val="24"/>
          <w:lang w:val="en-US"/>
        </w:rPr>
        <w:t xml:space="preserve">While these proposals have not yet </w:t>
      </w:r>
      <w:r w:rsidR="00324042">
        <w:rPr>
          <w:sz w:val="24"/>
          <w:szCs w:val="24"/>
          <w:lang w:val="en-US"/>
        </w:rPr>
        <w:lastRenderedPageBreak/>
        <w:t xml:space="preserve">seen the light of the </w:t>
      </w:r>
      <w:r w:rsidR="007110DE">
        <w:rPr>
          <w:sz w:val="24"/>
          <w:szCs w:val="24"/>
          <w:lang w:val="en-US"/>
        </w:rPr>
        <w:t>day in</w:t>
      </w:r>
      <w:r w:rsidR="00324042">
        <w:rPr>
          <w:sz w:val="24"/>
          <w:szCs w:val="24"/>
          <w:lang w:val="en-US"/>
        </w:rPr>
        <w:t xml:space="preserve"> </w:t>
      </w:r>
      <w:r w:rsidR="007110DE">
        <w:rPr>
          <w:sz w:val="24"/>
          <w:szCs w:val="24"/>
          <w:lang w:val="en-US"/>
        </w:rPr>
        <w:t>the Wealthy West</w:t>
      </w:r>
      <w:r w:rsidR="00324042">
        <w:rPr>
          <w:sz w:val="24"/>
          <w:szCs w:val="24"/>
          <w:lang w:val="en-US"/>
        </w:rPr>
        <w:t xml:space="preserve">, </w:t>
      </w:r>
      <w:r w:rsidR="00A450C6">
        <w:rPr>
          <w:sz w:val="24"/>
          <w:szCs w:val="24"/>
          <w:lang w:val="en-US"/>
        </w:rPr>
        <w:t>Brazilian law has eliminated the prot</w:t>
      </w:r>
      <w:r w:rsidR="00F82D8D">
        <w:rPr>
          <w:sz w:val="24"/>
          <w:szCs w:val="24"/>
          <w:lang w:val="en-US"/>
        </w:rPr>
        <w:t>ection of limited liability for</w:t>
      </w:r>
      <w:r w:rsidR="00B31C09">
        <w:rPr>
          <w:sz w:val="24"/>
          <w:szCs w:val="24"/>
          <w:lang w:val="en-US"/>
        </w:rPr>
        <w:t xml:space="preserve"> </w:t>
      </w:r>
      <w:r w:rsidR="00A450C6">
        <w:rPr>
          <w:sz w:val="24"/>
          <w:szCs w:val="24"/>
          <w:lang w:val="en-US"/>
        </w:rPr>
        <w:t>financial institutions decades ago</w:t>
      </w:r>
      <w:r w:rsidR="00324042">
        <w:rPr>
          <w:sz w:val="24"/>
          <w:szCs w:val="24"/>
          <w:lang w:val="en-US"/>
        </w:rPr>
        <w:t>.</w:t>
      </w:r>
      <w:r w:rsidR="000F64F9">
        <w:rPr>
          <w:rStyle w:val="Refdenotaderodap"/>
          <w:sz w:val="24"/>
          <w:szCs w:val="24"/>
          <w:lang w:val="en-US"/>
        </w:rPr>
        <w:footnoteReference w:id="213"/>
      </w:r>
      <w:r w:rsidR="00324042">
        <w:rPr>
          <w:sz w:val="24"/>
          <w:szCs w:val="24"/>
          <w:lang w:val="en-US"/>
        </w:rPr>
        <w:t xml:space="preserve"> </w:t>
      </w:r>
      <w:r w:rsidR="00263B08" w:rsidRPr="00F82D8D">
        <w:rPr>
          <w:sz w:val="24"/>
          <w:szCs w:val="24"/>
          <w:lang w:val="en-US"/>
        </w:rPr>
        <w:t xml:space="preserve">As Brazilian commentators have argued, the erosion of limited liability for financial institutions in Brazil intervenes in the </w:t>
      </w:r>
      <w:proofErr w:type="spellStart"/>
      <w:r w:rsidR="00263B08" w:rsidRPr="00F82D8D">
        <w:rPr>
          <w:i/>
          <w:sz w:val="24"/>
          <w:szCs w:val="24"/>
          <w:lang w:val="en-US"/>
        </w:rPr>
        <w:t>ex ante</w:t>
      </w:r>
      <w:proofErr w:type="spellEnd"/>
      <w:r w:rsidR="00263B08" w:rsidRPr="00F82D8D">
        <w:rPr>
          <w:sz w:val="24"/>
          <w:szCs w:val="24"/>
          <w:lang w:val="en-US"/>
        </w:rPr>
        <w:t xml:space="preserve"> incentives of controlling shareholders and managers of banks, a regulatory option that may be more effective than the system of command-and-control regulation of banks.</w:t>
      </w:r>
      <w:r w:rsidR="00263B08" w:rsidRPr="00F82D8D">
        <w:rPr>
          <w:rStyle w:val="Refdenotaderodap"/>
          <w:sz w:val="24"/>
          <w:szCs w:val="24"/>
          <w:lang w:val="en-US"/>
        </w:rPr>
        <w:footnoteReference w:id="214"/>
      </w:r>
    </w:p>
    <w:p w:rsidR="0087008F" w:rsidRDefault="00B929B5" w:rsidP="006844E3">
      <w:pPr>
        <w:ind w:firstLine="708"/>
        <w:jc w:val="both"/>
        <w:rPr>
          <w:sz w:val="24"/>
          <w:szCs w:val="24"/>
          <w:lang w:val="en-US"/>
        </w:rPr>
      </w:pPr>
      <w:r>
        <w:rPr>
          <w:sz w:val="24"/>
          <w:szCs w:val="24"/>
          <w:lang w:val="en-US"/>
        </w:rPr>
        <w:t>Whether Brazil’s stance toward unlimited liability deserves wide emulation is debatable. A more moderate</w:t>
      </w:r>
      <w:r w:rsidR="00F82D8D">
        <w:rPr>
          <w:sz w:val="24"/>
          <w:szCs w:val="24"/>
          <w:lang w:val="en-US"/>
        </w:rPr>
        <w:t>, but still controversial,</w:t>
      </w:r>
      <w:r>
        <w:rPr>
          <w:sz w:val="24"/>
          <w:szCs w:val="24"/>
          <w:lang w:val="en-US"/>
        </w:rPr>
        <w:t xml:space="preserve"> view is </w:t>
      </w:r>
      <w:r w:rsidR="00002B7F">
        <w:rPr>
          <w:sz w:val="24"/>
          <w:szCs w:val="24"/>
          <w:lang w:val="en-US"/>
        </w:rPr>
        <w:t>that the efficiency of limited</w:t>
      </w:r>
      <w:r w:rsidR="00B00DE4">
        <w:rPr>
          <w:sz w:val="24"/>
          <w:szCs w:val="24"/>
          <w:lang w:val="en-US"/>
        </w:rPr>
        <w:t xml:space="preserve"> shareholder</w:t>
      </w:r>
      <w:r w:rsidR="00002B7F">
        <w:rPr>
          <w:sz w:val="24"/>
          <w:szCs w:val="24"/>
          <w:lang w:val="en-US"/>
        </w:rPr>
        <w:t xml:space="preserve"> liability</w:t>
      </w:r>
      <w:r w:rsidR="00B00DE4">
        <w:rPr>
          <w:sz w:val="24"/>
          <w:szCs w:val="24"/>
          <w:lang w:val="en-US"/>
        </w:rPr>
        <w:t xml:space="preserve"> for corporate obligations</w:t>
      </w:r>
      <w:r w:rsidR="00002B7F">
        <w:rPr>
          <w:sz w:val="24"/>
          <w:szCs w:val="24"/>
          <w:lang w:val="en-US"/>
        </w:rPr>
        <w:t xml:space="preserve"> critically depends on the ability of the legal regime to curb </w:t>
      </w:r>
      <w:r w:rsidR="007616A6">
        <w:rPr>
          <w:sz w:val="24"/>
          <w:szCs w:val="24"/>
          <w:lang w:val="en-US"/>
        </w:rPr>
        <w:t>opportunism vis-à-vis contractual creditors</w:t>
      </w:r>
      <w:r w:rsidR="00002B7F">
        <w:rPr>
          <w:sz w:val="24"/>
          <w:szCs w:val="24"/>
          <w:lang w:val="en-US"/>
        </w:rPr>
        <w:t xml:space="preserve"> and restrict the corporation’s ability to impose externalities on third parties. </w:t>
      </w:r>
      <w:r w:rsidR="008E1AFB">
        <w:rPr>
          <w:sz w:val="24"/>
          <w:szCs w:val="24"/>
          <w:lang w:val="en-US"/>
        </w:rPr>
        <w:t>If the legal regime fails in these respects, the case for limited liability falters accordingly.</w:t>
      </w:r>
      <w:r w:rsidR="00AD0A6D">
        <w:rPr>
          <w:sz w:val="24"/>
          <w:szCs w:val="24"/>
          <w:lang w:val="en-US"/>
        </w:rPr>
        <w:t xml:space="preserve"> </w:t>
      </w:r>
      <w:r w:rsidR="00F82D8D">
        <w:rPr>
          <w:sz w:val="24"/>
          <w:szCs w:val="24"/>
          <w:lang w:val="en-US"/>
        </w:rPr>
        <w:t>Certain</w:t>
      </w:r>
      <w:r w:rsidR="00123C6D">
        <w:rPr>
          <w:sz w:val="24"/>
          <w:szCs w:val="24"/>
          <w:lang w:val="en-US"/>
        </w:rPr>
        <w:t xml:space="preserve"> weaknesses in Brazil’s institutional environment </w:t>
      </w:r>
      <w:r w:rsidR="00F82D8D">
        <w:rPr>
          <w:sz w:val="24"/>
          <w:szCs w:val="24"/>
          <w:lang w:val="en-US"/>
        </w:rPr>
        <w:t>help explain the</w:t>
      </w:r>
      <w:r w:rsidR="00BE4202">
        <w:rPr>
          <w:sz w:val="24"/>
          <w:szCs w:val="24"/>
          <w:lang w:val="en-US"/>
        </w:rPr>
        <w:t xml:space="preserve"> observed pattern of unlimited liability. </w:t>
      </w:r>
    </w:p>
    <w:p w:rsidR="00FF15EF" w:rsidRDefault="00674DE1" w:rsidP="006844E3">
      <w:pPr>
        <w:ind w:firstLine="708"/>
        <w:jc w:val="both"/>
        <w:rPr>
          <w:sz w:val="24"/>
          <w:szCs w:val="24"/>
          <w:lang w:val="en-US"/>
        </w:rPr>
      </w:pPr>
      <w:r>
        <w:rPr>
          <w:sz w:val="24"/>
          <w:szCs w:val="24"/>
          <w:lang w:val="en-US"/>
        </w:rPr>
        <w:t xml:space="preserve">As </w:t>
      </w:r>
      <w:r w:rsidR="00C42C17">
        <w:rPr>
          <w:sz w:val="24"/>
          <w:szCs w:val="24"/>
          <w:lang w:val="en-US"/>
        </w:rPr>
        <w:t>discussed above</w:t>
      </w:r>
      <w:r>
        <w:rPr>
          <w:sz w:val="24"/>
          <w:szCs w:val="24"/>
          <w:lang w:val="en-US"/>
        </w:rPr>
        <w:t xml:space="preserve">, </w:t>
      </w:r>
      <w:r w:rsidR="00497F54">
        <w:rPr>
          <w:sz w:val="24"/>
          <w:szCs w:val="24"/>
          <w:lang w:val="en-US"/>
        </w:rPr>
        <w:t xml:space="preserve">Brazilian courts are particularly likely to </w:t>
      </w:r>
      <w:r w:rsidR="00F82D8D">
        <w:rPr>
          <w:sz w:val="24"/>
          <w:szCs w:val="24"/>
          <w:lang w:val="en-US"/>
        </w:rPr>
        <w:t>overcome</w:t>
      </w:r>
      <w:r w:rsidR="00A01676">
        <w:rPr>
          <w:sz w:val="24"/>
          <w:szCs w:val="24"/>
          <w:lang w:val="en-US"/>
        </w:rPr>
        <w:t xml:space="preserve"> limited liability (indeed, limited personality altogether) in three contexts, involving (</w:t>
      </w:r>
      <w:proofErr w:type="spellStart"/>
      <w:r w:rsidR="00A01676">
        <w:rPr>
          <w:sz w:val="24"/>
          <w:szCs w:val="24"/>
          <w:lang w:val="en-US"/>
        </w:rPr>
        <w:t>i</w:t>
      </w:r>
      <w:proofErr w:type="spellEnd"/>
      <w:r w:rsidR="00A01676">
        <w:rPr>
          <w:sz w:val="24"/>
          <w:szCs w:val="24"/>
          <w:lang w:val="en-US"/>
        </w:rPr>
        <w:t>) claims by involuntary or non-adjusting</w:t>
      </w:r>
      <w:r w:rsidR="004659C8">
        <w:rPr>
          <w:sz w:val="24"/>
          <w:szCs w:val="24"/>
          <w:lang w:val="en-US"/>
        </w:rPr>
        <w:t xml:space="preserve"> creditors</w:t>
      </w:r>
      <w:r w:rsidR="00A01676">
        <w:rPr>
          <w:sz w:val="24"/>
          <w:szCs w:val="24"/>
          <w:lang w:val="en-US"/>
        </w:rPr>
        <w:t xml:space="preserve">, such as workers, consumers and victims of environmental harm, </w:t>
      </w:r>
      <w:r w:rsidR="00F82D8D">
        <w:rPr>
          <w:sz w:val="24"/>
          <w:szCs w:val="24"/>
          <w:lang w:val="en-US"/>
        </w:rPr>
        <w:t>(ii) corporate groups, and (iii) financial institutions</w:t>
      </w:r>
      <w:r w:rsidR="004659C8">
        <w:rPr>
          <w:sz w:val="24"/>
          <w:szCs w:val="24"/>
          <w:lang w:val="en-US"/>
        </w:rPr>
        <w:t xml:space="preserve">. </w:t>
      </w:r>
      <w:r w:rsidR="00F82D8D">
        <w:rPr>
          <w:sz w:val="24"/>
          <w:szCs w:val="24"/>
          <w:lang w:val="en-US"/>
        </w:rPr>
        <w:t>In the presence of limited liability, t</w:t>
      </w:r>
      <w:r w:rsidR="00AA233E">
        <w:rPr>
          <w:sz w:val="24"/>
          <w:szCs w:val="24"/>
          <w:lang w:val="en-US"/>
        </w:rPr>
        <w:t xml:space="preserve">he protection of involuntary or non-adjusting creditors requires a dedicated and effective regulatory infrastructure. </w:t>
      </w:r>
      <w:r w:rsidR="00FF15EF">
        <w:rPr>
          <w:sz w:val="24"/>
          <w:szCs w:val="24"/>
          <w:lang w:val="en-US"/>
        </w:rPr>
        <w:t xml:space="preserve">Such capabilities of regulatory design and </w:t>
      </w:r>
      <w:r w:rsidR="00F82D8D">
        <w:rPr>
          <w:sz w:val="24"/>
          <w:szCs w:val="24"/>
          <w:lang w:val="en-US"/>
        </w:rPr>
        <w:t xml:space="preserve">administrative </w:t>
      </w:r>
      <w:r w:rsidR="00FF15EF">
        <w:rPr>
          <w:sz w:val="24"/>
          <w:szCs w:val="24"/>
          <w:lang w:val="en-US"/>
        </w:rPr>
        <w:t xml:space="preserve">enforcement may be missing in Brazil. </w:t>
      </w:r>
    </w:p>
    <w:p w:rsidR="00F82D8D" w:rsidRPr="00F82D8D" w:rsidRDefault="00FF15EF" w:rsidP="00263B08">
      <w:pPr>
        <w:ind w:firstLine="708"/>
        <w:jc w:val="both"/>
        <w:rPr>
          <w:sz w:val="24"/>
          <w:szCs w:val="24"/>
          <w:lang w:val="en-US"/>
        </w:rPr>
      </w:pPr>
      <w:r>
        <w:rPr>
          <w:sz w:val="24"/>
          <w:szCs w:val="24"/>
          <w:lang w:val="en-US"/>
        </w:rPr>
        <w:t xml:space="preserve">The same </w:t>
      </w:r>
      <w:r w:rsidR="000C5B85">
        <w:rPr>
          <w:sz w:val="24"/>
          <w:szCs w:val="24"/>
          <w:lang w:val="en-US"/>
        </w:rPr>
        <w:t xml:space="preserve">difficulties appear </w:t>
      </w:r>
      <w:r>
        <w:rPr>
          <w:sz w:val="24"/>
          <w:szCs w:val="24"/>
          <w:lang w:val="en-US"/>
        </w:rPr>
        <w:t xml:space="preserve">with respect to the regulation of financial institutions. </w:t>
      </w:r>
      <w:r w:rsidR="00335749">
        <w:rPr>
          <w:sz w:val="24"/>
          <w:szCs w:val="24"/>
          <w:lang w:val="en-US"/>
        </w:rPr>
        <w:t>T</w:t>
      </w:r>
      <w:r w:rsidR="00545EC2">
        <w:rPr>
          <w:sz w:val="24"/>
          <w:szCs w:val="24"/>
          <w:lang w:val="en-US"/>
        </w:rPr>
        <w:t>he</w:t>
      </w:r>
      <w:r w:rsidR="00335749">
        <w:rPr>
          <w:sz w:val="24"/>
          <w:szCs w:val="24"/>
          <w:lang w:val="en-US"/>
        </w:rPr>
        <w:t xml:space="preserve"> financ</w:t>
      </w:r>
      <w:r w:rsidR="005B2977">
        <w:rPr>
          <w:sz w:val="24"/>
          <w:szCs w:val="24"/>
          <w:lang w:val="en-US"/>
        </w:rPr>
        <w:t xml:space="preserve">ial industry is politically powerful, as well as especially dynamic and complex, which thwarts regulatory efforts. Yet </w:t>
      </w:r>
      <w:r w:rsidR="00335749">
        <w:rPr>
          <w:sz w:val="24"/>
          <w:szCs w:val="24"/>
          <w:lang w:val="en-US"/>
        </w:rPr>
        <w:t>weaknesses in the regulatory apparatus and</w:t>
      </w:r>
      <w:r w:rsidR="00545EC2" w:rsidRPr="00F82D8D">
        <w:rPr>
          <w:sz w:val="24"/>
          <w:szCs w:val="24"/>
          <w:lang w:val="en-US"/>
        </w:rPr>
        <w:t xml:space="preserve"> </w:t>
      </w:r>
      <w:r w:rsidR="00E10F3D" w:rsidRPr="00F82D8D">
        <w:rPr>
          <w:sz w:val="24"/>
          <w:szCs w:val="24"/>
          <w:lang w:val="en-US"/>
        </w:rPr>
        <w:t xml:space="preserve">the </w:t>
      </w:r>
      <w:r w:rsidR="00DD2727" w:rsidRPr="00F82D8D">
        <w:rPr>
          <w:sz w:val="24"/>
          <w:szCs w:val="24"/>
          <w:lang w:val="en-US"/>
        </w:rPr>
        <w:t xml:space="preserve">high concentration </w:t>
      </w:r>
      <w:r w:rsidR="00B929B5" w:rsidRPr="00F82D8D">
        <w:rPr>
          <w:sz w:val="24"/>
          <w:szCs w:val="24"/>
          <w:lang w:val="en-US"/>
        </w:rPr>
        <w:t>of</w:t>
      </w:r>
      <w:r w:rsidR="00DD2727" w:rsidRPr="00F82D8D">
        <w:rPr>
          <w:sz w:val="24"/>
          <w:szCs w:val="24"/>
          <w:lang w:val="en-US"/>
        </w:rPr>
        <w:t xml:space="preserve"> the </w:t>
      </w:r>
      <w:r w:rsidR="005B2977">
        <w:rPr>
          <w:sz w:val="24"/>
          <w:szCs w:val="24"/>
          <w:lang w:val="en-US"/>
        </w:rPr>
        <w:t xml:space="preserve">Brazilian </w:t>
      </w:r>
      <w:r w:rsidR="00DD2727" w:rsidRPr="00F82D8D">
        <w:rPr>
          <w:sz w:val="24"/>
          <w:szCs w:val="24"/>
          <w:lang w:val="en-US"/>
        </w:rPr>
        <w:t xml:space="preserve">financial sector in a few “too-big-to-fail” groups </w:t>
      </w:r>
      <w:r w:rsidR="00BD5761" w:rsidRPr="00F82D8D">
        <w:rPr>
          <w:sz w:val="24"/>
          <w:szCs w:val="24"/>
          <w:lang w:val="en-US"/>
        </w:rPr>
        <w:t xml:space="preserve">exacerbates </w:t>
      </w:r>
      <w:r w:rsidR="00CD05D0" w:rsidRPr="00F82D8D">
        <w:rPr>
          <w:sz w:val="24"/>
          <w:szCs w:val="24"/>
          <w:lang w:val="en-US"/>
        </w:rPr>
        <w:t>systemic risk.</w:t>
      </w:r>
      <w:r w:rsidR="00AD2634" w:rsidRPr="00F82D8D">
        <w:rPr>
          <w:rStyle w:val="Refdenotaderodap"/>
          <w:sz w:val="24"/>
          <w:szCs w:val="24"/>
          <w:lang w:val="en-US"/>
        </w:rPr>
        <w:footnoteReference w:id="215"/>
      </w:r>
      <w:r w:rsidR="00CD05D0" w:rsidRPr="00F82D8D">
        <w:rPr>
          <w:sz w:val="24"/>
          <w:szCs w:val="24"/>
          <w:lang w:val="en-US"/>
        </w:rPr>
        <w:t xml:space="preserve"> </w:t>
      </w:r>
      <w:r w:rsidR="00263B08">
        <w:rPr>
          <w:sz w:val="24"/>
          <w:szCs w:val="24"/>
          <w:lang w:val="en-US"/>
        </w:rPr>
        <w:t xml:space="preserve">The </w:t>
      </w:r>
      <w:r w:rsidR="00F82D8D" w:rsidRPr="00F82D8D">
        <w:rPr>
          <w:sz w:val="24"/>
          <w:szCs w:val="24"/>
          <w:lang w:val="en-US"/>
        </w:rPr>
        <w:t>prevailing view is that the Brazilian financial system is both strong and conservative.</w:t>
      </w:r>
      <w:r w:rsidR="00F82D8D" w:rsidRPr="00F82D8D">
        <w:rPr>
          <w:rStyle w:val="Refdenotaderodap"/>
          <w:sz w:val="24"/>
          <w:szCs w:val="24"/>
          <w:lang w:val="en-US"/>
        </w:rPr>
        <w:footnoteReference w:id="216"/>
      </w:r>
      <w:r w:rsidR="00F82D8D" w:rsidRPr="00F82D8D">
        <w:rPr>
          <w:sz w:val="24"/>
          <w:szCs w:val="24"/>
          <w:lang w:val="en-US"/>
        </w:rPr>
        <w:t xml:space="preserve"> In praising the financial performance and resilience of the Brazilian financial system after the global financial crisis, the controlling shareholder of BTG </w:t>
      </w:r>
      <w:proofErr w:type="spellStart"/>
      <w:r w:rsidR="00F82D8D" w:rsidRPr="00F82D8D">
        <w:rPr>
          <w:sz w:val="24"/>
          <w:szCs w:val="24"/>
          <w:lang w:val="en-US"/>
        </w:rPr>
        <w:t>Pactual</w:t>
      </w:r>
      <w:proofErr w:type="spellEnd"/>
      <w:r w:rsidR="00F82D8D" w:rsidRPr="00F82D8D">
        <w:rPr>
          <w:sz w:val="24"/>
          <w:szCs w:val="24"/>
          <w:lang w:val="en-US"/>
        </w:rPr>
        <w:t xml:space="preserve">, Brazil’s largest investment bank, explicitly singled out the role of unlimited liability. As he told the Financial </w:t>
      </w:r>
      <w:proofErr w:type="gramStart"/>
      <w:r w:rsidR="00F82D8D" w:rsidRPr="00F82D8D">
        <w:rPr>
          <w:sz w:val="24"/>
          <w:szCs w:val="24"/>
          <w:lang w:val="en-US"/>
        </w:rPr>
        <w:t>Times:</w:t>
      </w:r>
      <w:proofErr w:type="gramEnd"/>
      <w:r w:rsidR="00F82D8D" w:rsidRPr="00F82D8D">
        <w:rPr>
          <w:sz w:val="24"/>
          <w:szCs w:val="24"/>
          <w:lang w:val="en-US"/>
        </w:rPr>
        <w:t xml:space="preserve"> “[I]f</w:t>
      </w:r>
      <w:r w:rsidR="00176468">
        <w:rPr>
          <w:sz w:val="24"/>
          <w:szCs w:val="24"/>
          <w:lang w:val="en-US"/>
        </w:rPr>
        <w:t xml:space="preserve"> </w:t>
      </w:r>
      <w:r w:rsidR="00F82D8D" w:rsidRPr="00F82D8D">
        <w:rPr>
          <w:sz w:val="24"/>
          <w:szCs w:val="24"/>
          <w:lang w:val="en-US"/>
        </w:rPr>
        <w:t xml:space="preserve">something </w:t>
      </w:r>
      <w:r w:rsidR="00F82D8D" w:rsidRPr="00F82D8D">
        <w:rPr>
          <w:sz w:val="24"/>
          <w:szCs w:val="24"/>
          <w:lang w:val="en-US"/>
        </w:rPr>
        <w:lastRenderedPageBreak/>
        <w:t xml:space="preserve">goes wrong with </w:t>
      </w:r>
      <w:proofErr w:type="spellStart"/>
      <w:r w:rsidR="00F82D8D" w:rsidRPr="00F82D8D">
        <w:rPr>
          <w:sz w:val="24"/>
          <w:szCs w:val="24"/>
          <w:lang w:val="en-US"/>
        </w:rPr>
        <w:t>Pactual</w:t>
      </w:r>
      <w:proofErr w:type="spellEnd"/>
      <w:r w:rsidR="00F82D8D" w:rsidRPr="00F82D8D">
        <w:rPr>
          <w:sz w:val="24"/>
          <w:szCs w:val="24"/>
          <w:lang w:val="en-US"/>
        </w:rPr>
        <w:t>, people can get my house,” which “is a very different philosophy than the US and Europe.”</w:t>
      </w:r>
      <w:bookmarkStart w:id="43" w:name="_Ref455671114"/>
      <w:r w:rsidR="00F82D8D" w:rsidRPr="00F82D8D">
        <w:rPr>
          <w:rStyle w:val="Refdenotaderodap"/>
          <w:sz w:val="24"/>
          <w:szCs w:val="24"/>
          <w:lang w:val="en-US"/>
        </w:rPr>
        <w:footnoteReference w:id="217"/>
      </w:r>
      <w:bookmarkEnd w:id="43"/>
      <w:r w:rsidR="00F82D8D" w:rsidRPr="00F82D8D">
        <w:rPr>
          <w:b/>
          <w:sz w:val="24"/>
          <w:szCs w:val="24"/>
          <w:lang w:val="en-US"/>
        </w:rPr>
        <w:t xml:space="preserve"> </w:t>
      </w:r>
    </w:p>
    <w:p w:rsidR="00410FA1" w:rsidRDefault="00E7771A" w:rsidP="006844E3">
      <w:pPr>
        <w:ind w:firstLine="708"/>
        <w:jc w:val="both"/>
        <w:rPr>
          <w:sz w:val="24"/>
          <w:szCs w:val="24"/>
          <w:lang w:val="en-US"/>
        </w:rPr>
      </w:pPr>
      <w:r>
        <w:rPr>
          <w:sz w:val="24"/>
          <w:szCs w:val="24"/>
          <w:lang w:val="en-US"/>
        </w:rPr>
        <w:t xml:space="preserve">As we have seen, the application of limited liability </w:t>
      </w:r>
      <w:r w:rsidR="004B5750">
        <w:rPr>
          <w:sz w:val="24"/>
          <w:szCs w:val="24"/>
          <w:lang w:val="en-US"/>
        </w:rPr>
        <w:t xml:space="preserve">to </w:t>
      </w:r>
      <w:r>
        <w:rPr>
          <w:sz w:val="24"/>
          <w:szCs w:val="24"/>
          <w:lang w:val="en-US"/>
        </w:rPr>
        <w:t>corporate groups is</w:t>
      </w:r>
      <w:r w:rsidR="00D72883">
        <w:rPr>
          <w:sz w:val="24"/>
          <w:szCs w:val="24"/>
          <w:lang w:val="en-US"/>
        </w:rPr>
        <w:t xml:space="preserve"> more</w:t>
      </w:r>
      <w:r>
        <w:rPr>
          <w:sz w:val="24"/>
          <w:szCs w:val="24"/>
          <w:lang w:val="en-US"/>
        </w:rPr>
        <w:t xml:space="preserve"> </w:t>
      </w:r>
      <w:r w:rsidR="00D72883">
        <w:rPr>
          <w:sz w:val="24"/>
          <w:szCs w:val="24"/>
          <w:lang w:val="en-US"/>
        </w:rPr>
        <w:t>controversial, given its more limited benefits and greater</w:t>
      </w:r>
      <w:r>
        <w:rPr>
          <w:sz w:val="24"/>
          <w:szCs w:val="24"/>
          <w:lang w:val="en-US"/>
        </w:rPr>
        <w:t xml:space="preserve"> potential for abuse.</w:t>
      </w:r>
      <w:r w:rsidR="00D72883">
        <w:rPr>
          <w:rStyle w:val="Refdenotaderodap"/>
          <w:sz w:val="24"/>
          <w:szCs w:val="24"/>
          <w:lang w:val="en-US"/>
        </w:rPr>
        <w:footnoteReference w:id="218"/>
      </w:r>
      <w:r>
        <w:rPr>
          <w:sz w:val="24"/>
          <w:szCs w:val="24"/>
          <w:lang w:val="en-US"/>
        </w:rPr>
        <w:t xml:space="preserve"> </w:t>
      </w:r>
      <w:r w:rsidR="002208CB">
        <w:rPr>
          <w:sz w:val="24"/>
          <w:szCs w:val="24"/>
          <w:lang w:val="en-US"/>
        </w:rPr>
        <w:t>Curbing corporate opportunism vis-à-vis creditors in the group context requires courts to (</w:t>
      </w:r>
      <w:proofErr w:type="spellStart"/>
      <w:r w:rsidR="002208CB">
        <w:rPr>
          <w:sz w:val="24"/>
          <w:szCs w:val="24"/>
          <w:lang w:val="en-US"/>
        </w:rPr>
        <w:t>i</w:t>
      </w:r>
      <w:proofErr w:type="spellEnd"/>
      <w:r w:rsidR="002208CB">
        <w:rPr>
          <w:sz w:val="24"/>
          <w:szCs w:val="24"/>
          <w:lang w:val="en-US"/>
        </w:rPr>
        <w:t xml:space="preserve">) satisfactorily police related-party transactions within the group and (ii) </w:t>
      </w:r>
      <w:r w:rsidR="00572332">
        <w:rPr>
          <w:sz w:val="24"/>
          <w:szCs w:val="24"/>
          <w:lang w:val="en-US"/>
        </w:rPr>
        <w:t xml:space="preserve">rigorously enforce contractual protections </w:t>
      </w:r>
      <w:r w:rsidR="00846419">
        <w:rPr>
          <w:sz w:val="24"/>
          <w:szCs w:val="24"/>
          <w:lang w:val="en-US"/>
        </w:rPr>
        <w:t xml:space="preserve">negotiated by corporate creditors. </w:t>
      </w:r>
      <w:r w:rsidR="00BA7371">
        <w:rPr>
          <w:sz w:val="24"/>
          <w:szCs w:val="24"/>
          <w:lang w:val="en-US"/>
        </w:rPr>
        <w:t>Yet policing related-party transactions</w:t>
      </w:r>
      <w:r w:rsidR="00543F16">
        <w:rPr>
          <w:sz w:val="24"/>
          <w:szCs w:val="24"/>
          <w:lang w:val="en-US"/>
        </w:rPr>
        <w:t xml:space="preserve"> is an exceedingly difficult task, which Brazilian courts do not seem </w:t>
      </w:r>
      <w:r w:rsidR="00E32700">
        <w:rPr>
          <w:sz w:val="24"/>
          <w:szCs w:val="24"/>
          <w:lang w:val="en-US"/>
        </w:rPr>
        <w:t>to perform in a satisfactory man</w:t>
      </w:r>
      <w:r w:rsidR="00FC286D">
        <w:rPr>
          <w:sz w:val="24"/>
          <w:szCs w:val="24"/>
          <w:lang w:val="en-US"/>
        </w:rPr>
        <w:t>ner</w:t>
      </w:r>
      <w:r w:rsidR="00BA7371">
        <w:rPr>
          <w:sz w:val="24"/>
          <w:szCs w:val="24"/>
          <w:lang w:val="en-US"/>
        </w:rPr>
        <w:t>.</w:t>
      </w:r>
      <w:r w:rsidR="00EB1421">
        <w:rPr>
          <w:rStyle w:val="Refdenotaderodap"/>
          <w:sz w:val="24"/>
          <w:szCs w:val="24"/>
          <w:lang w:val="en-US"/>
        </w:rPr>
        <w:footnoteReference w:id="219"/>
      </w:r>
      <w:r w:rsidR="00BA7371">
        <w:rPr>
          <w:sz w:val="24"/>
          <w:szCs w:val="24"/>
          <w:lang w:val="en-US"/>
        </w:rPr>
        <w:t xml:space="preserve"> </w:t>
      </w:r>
    </w:p>
    <w:p w:rsidR="000D1E7E" w:rsidRDefault="0009317A" w:rsidP="006844E3">
      <w:pPr>
        <w:ind w:firstLine="708"/>
        <w:jc w:val="both"/>
        <w:rPr>
          <w:sz w:val="24"/>
          <w:szCs w:val="24"/>
          <w:lang w:val="en-US"/>
        </w:rPr>
      </w:pPr>
      <w:r>
        <w:rPr>
          <w:sz w:val="24"/>
          <w:szCs w:val="24"/>
          <w:lang w:val="en-US"/>
        </w:rPr>
        <w:t>J</w:t>
      </w:r>
      <w:r w:rsidR="00410FA1">
        <w:rPr>
          <w:sz w:val="24"/>
          <w:szCs w:val="24"/>
          <w:lang w:val="en-US"/>
        </w:rPr>
        <w:t xml:space="preserve">udicial enforcement of </w:t>
      </w:r>
      <w:r w:rsidR="00BA7371">
        <w:rPr>
          <w:sz w:val="24"/>
          <w:szCs w:val="24"/>
          <w:lang w:val="en-US"/>
        </w:rPr>
        <w:t>contract</w:t>
      </w:r>
      <w:r w:rsidR="00410FA1">
        <w:rPr>
          <w:sz w:val="24"/>
          <w:szCs w:val="24"/>
          <w:lang w:val="en-US"/>
        </w:rPr>
        <w:t>s is</w:t>
      </w:r>
      <w:r>
        <w:rPr>
          <w:sz w:val="24"/>
          <w:szCs w:val="24"/>
          <w:lang w:val="en-US"/>
        </w:rPr>
        <w:t xml:space="preserve"> also </w:t>
      </w:r>
      <w:r w:rsidR="00410FA1">
        <w:rPr>
          <w:sz w:val="24"/>
          <w:szCs w:val="24"/>
          <w:lang w:val="en-US"/>
        </w:rPr>
        <w:t xml:space="preserve">suboptimal in Brazil. </w:t>
      </w:r>
      <w:r w:rsidR="00FC286D">
        <w:rPr>
          <w:sz w:val="24"/>
          <w:szCs w:val="24"/>
          <w:lang w:val="en-US"/>
        </w:rPr>
        <w:t xml:space="preserve">According to the World Bank’s Doing Business Report, </w:t>
      </w:r>
      <w:r w:rsidR="00221194">
        <w:rPr>
          <w:sz w:val="24"/>
          <w:szCs w:val="24"/>
          <w:lang w:val="en-US"/>
        </w:rPr>
        <w:t>Brazil ranks as the 45th</w:t>
      </w:r>
      <w:r w:rsidR="00811B3A">
        <w:rPr>
          <w:sz w:val="24"/>
          <w:szCs w:val="24"/>
          <w:lang w:val="en-US"/>
        </w:rPr>
        <w:t xml:space="preserve"> country</w:t>
      </w:r>
      <w:r w:rsidR="00221194">
        <w:rPr>
          <w:sz w:val="24"/>
          <w:szCs w:val="24"/>
          <w:lang w:val="en-US"/>
        </w:rPr>
        <w:t xml:space="preserve"> in terms of contract enforcement, faring </w:t>
      </w:r>
      <w:r>
        <w:rPr>
          <w:sz w:val="24"/>
          <w:szCs w:val="24"/>
          <w:lang w:val="en-US"/>
        </w:rPr>
        <w:t>especially</w:t>
      </w:r>
      <w:r w:rsidR="00221194">
        <w:rPr>
          <w:sz w:val="24"/>
          <w:szCs w:val="24"/>
          <w:lang w:val="en-US"/>
        </w:rPr>
        <w:t xml:space="preserve"> poorly with respect to the long duration of legal proceedings.</w:t>
      </w:r>
      <w:bookmarkStart w:id="44" w:name="_Ref455603398"/>
      <w:r w:rsidR="00221194">
        <w:rPr>
          <w:rStyle w:val="Refdenotaderodap"/>
          <w:sz w:val="24"/>
          <w:szCs w:val="24"/>
          <w:lang w:val="en-US"/>
        </w:rPr>
        <w:footnoteReference w:id="220"/>
      </w:r>
      <w:bookmarkEnd w:id="44"/>
      <w:r w:rsidR="00221194">
        <w:rPr>
          <w:sz w:val="24"/>
          <w:szCs w:val="24"/>
          <w:lang w:val="en-US"/>
        </w:rPr>
        <w:t xml:space="preserve"> </w:t>
      </w:r>
      <w:r w:rsidR="00AE40CC">
        <w:rPr>
          <w:sz w:val="24"/>
          <w:szCs w:val="24"/>
          <w:lang w:val="en-US"/>
        </w:rPr>
        <w:t>Moreover, p</w:t>
      </w:r>
      <w:r>
        <w:rPr>
          <w:sz w:val="24"/>
          <w:szCs w:val="24"/>
          <w:lang w:val="en-US"/>
        </w:rPr>
        <w:t xml:space="preserve">rominent Brazilian economists </w:t>
      </w:r>
      <w:r w:rsidR="00FC286D">
        <w:rPr>
          <w:sz w:val="24"/>
          <w:szCs w:val="24"/>
          <w:lang w:val="en-US"/>
        </w:rPr>
        <w:t>have claimed</w:t>
      </w:r>
      <w:r w:rsidR="00C17A1F">
        <w:rPr>
          <w:sz w:val="24"/>
          <w:szCs w:val="24"/>
          <w:lang w:val="en-US"/>
        </w:rPr>
        <w:t xml:space="preserve"> </w:t>
      </w:r>
      <w:r>
        <w:rPr>
          <w:sz w:val="24"/>
          <w:szCs w:val="24"/>
          <w:lang w:val="en-US"/>
        </w:rPr>
        <w:t xml:space="preserve">the existence of </w:t>
      </w:r>
      <w:r w:rsidR="00BA7371">
        <w:rPr>
          <w:sz w:val="24"/>
          <w:szCs w:val="24"/>
          <w:lang w:val="en-US"/>
        </w:rPr>
        <w:t>an anti-creditor bias by Brazilian courts.</w:t>
      </w:r>
      <w:bookmarkStart w:id="45" w:name="_Ref455603406"/>
      <w:r w:rsidR="004F621E">
        <w:rPr>
          <w:rStyle w:val="Refdenotaderodap"/>
          <w:sz w:val="24"/>
          <w:szCs w:val="24"/>
          <w:lang w:val="en-US"/>
        </w:rPr>
        <w:footnoteReference w:id="221"/>
      </w:r>
      <w:bookmarkEnd w:id="45"/>
      <w:r w:rsidR="00BA7371">
        <w:rPr>
          <w:sz w:val="24"/>
          <w:szCs w:val="24"/>
          <w:lang w:val="en-US"/>
        </w:rPr>
        <w:t xml:space="preserve"> </w:t>
      </w:r>
    </w:p>
    <w:p w:rsidR="000A7769" w:rsidRDefault="000D1E7E" w:rsidP="006844E3">
      <w:pPr>
        <w:ind w:firstLine="708"/>
        <w:jc w:val="both"/>
        <w:rPr>
          <w:sz w:val="24"/>
          <w:szCs w:val="24"/>
          <w:lang w:val="en-US"/>
        </w:rPr>
      </w:pPr>
      <w:r>
        <w:rPr>
          <w:sz w:val="24"/>
          <w:szCs w:val="24"/>
          <w:lang w:val="en-US"/>
        </w:rPr>
        <w:t>Final</w:t>
      </w:r>
      <w:r w:rsidR="00DF6BBE">
        <w:rPr>
          <w:sz w:val="24"/>
          <w:szCs w:val="24"/>
          <w:lang w:val="en-US"/>
        </w:rPr>
        <w:t>ly, the optimality of limited liability depends on complementary features of the corporate form</w:t>
      </w:r>
      <w:r w:rsidR="00606BF3">
        <w:rPr>
          <w:sz w:val="24"/>
          <w:szCs w:val="24"/>
          <w:lang w:val="en-US"/>
        </w:rPr>
        <w:t xml:space="preserve"> itself</w:t>
      </w:r>
      <w:r w:rsidR="00DF6BBE">
        <w:rPr>
          <w:sz w:val="24"/>
          <w:szCs w:val="24"/>
          <w:lang w:val="en-US"/>
        </w:rPr>
        <w:t xml:space="preserve">. </w:t>
      </w:r>
      <w:r w:rsidR="00061D69">
        <w:rPr>
          <w:sz w:val="24"/>
          <w:szCs w:val="24"/>
          <w:lang w:val="en-US"/>
        </w:rPr>
        <w:t xml:space="preserve">First, there </w:t>
      </w:r>
      <w:r w:rsidR="006F74FA">
        <w:rPr>
          <w:sz w:val="24"/>
          <w:szCs w:val="24"/>
          <w:lang w:val="en-US"/>
        </w:rPr>
        <w:t>is a close relationship between</w:t>
      </w:r>
      <w:r w:rsidR="00061D69">
        <w:rPr>
          <w:sz w:val="24"/>
          <w:szCs w:val="24"/>
          <w:lang w:val="en-US"/>
        </w:rPr>
        <w:t xml:space="preserve"> loc</w:t>
      </w:r>
      <w:r w:rsidR="0039338B">
        <w:rPr>
          <w:sz w:val="24"/>
          <w:szCs w:val="24"/>
          <w:lang w:val="en-US"/>
        </w:rPr>
        <w:t xml:space="preserve">k-in and limited liability—indeed, they constitute opposite </w:t>
      </w:r>
      <w:r w:rsidR="006F74FA">
        <w:rPr>
          <w:sz w:val="24"/>
          <w:szCs w:val="24"/>
          <w:lang w:val="en-US"/>
        </w:rPr>
        <w:t>dimensions of the separation of assets between the firm and its owners</w:t>
      </w:r>
      <w:r w:rsidR="0039338B">
        <w:rPr>
          <w:sz w:val="24"/>
          <w:szCs w:val="24"/>
          <w:lang w:val="en-US"/>
        </w:rPr>
        <w:t xml:space="preserve">. </w:t>
      </w:r>
      <w:r w:rsidR="00B22749">
        <w:rPr>
          <w:sz w:val="24"/>
          <w:szCs w:val="24"/>
          <w:lang w:val="en-US"/>
        </w:rPr>
        <w:t xml:space="preserve">Whereas limited liability </w:t>
      </w:r>
      <w:r w:rsidR="00E2699F">
        <w:rPr>
          <w:sz w:val="24"/>
          <w:szCs w:val="24"/>
          <w:lang w:val="en-US"/>
        </w:rPr>
        <w:t>removes shareholder assets from the reach of corporate creditors</w:t>
      </w:r>
      <w:r w:rsidR="00B22749">
        <w:rPr>
          <w:sz w:val="24"/>
          <w:szCs w:val="24"/>
          <w:lang w:val="en-US"/>
        </w:rPr>
        <w:t>, lock-in</w:t>
      </w:r>
      <w:r w:rsidR="00E2699F">
        <w:rPr>
          <w:sz w:val="24"/>
          <w:szCs w:val="24"/>
          <w:lang w:val="en-US"/>
        </w:rPr>
        <w:t xml:space="preserve"> guarantees that corporate creditors will </w:t>
      </w:r>
      <w:r w:rsidR="00416DEF">
        <w:rPr>
          <w:sz w:val="24"/>
          <w:szCs w:val="24"/>
          <w:lang w:val="en-US"/>
        </w:rPr>
        <w:t xml:space="preserve">have first priority on the corporation’s assets. </w:t>
      </w:r>
      <w:r w:rsidR="00F00317">
        <w:rPr>
          <w:sz w:val="24"/>
          <w:szCs w:val="24"/>
          <w:lang w:val="en-US"/>
        </w:rPr>
        <w:t>The rise of partial dissolutions of SAs in Brazil reverses this logic,</w:t>
      </w:r>
      <w:r w:rsidR="00067520">
        <w:rPr>
          <w:sz w:val="24"/>
          <w:szCs w:val="24"/>
          <w:lang w:val="en-US"/>
        </w:rPr>
        <w:t xml:space="preserve"> </w:t>
      </w:r>
      <w:r w:rsidR="00CF4139">
        <w:rPr>
          <w:sz w:val="24"/>
          <w:szCs w:val="24"/>
          <w:lang w:val="en-US"/>
        </w:rPr>
        <w:t>permitting</w:t>
      </w:r>
      <w:r w:rsidR="00067520">
        <w:rPr>
          <w:sz w:val="24"/>
          <w:szCs w:val="24"/>
          <w:lang w:val="en-US"/>
        </w:rPr>
        <w:t xml:space="preserve"> disgruntled shareholders to withdraw corporate assets before creditors </w:t>
      </w:r>
      <w:proofErr w:type="gramStart"/>
      <w:r w:rsidR="00067520">
        <w:rPr>
          <w:sz w:val="24"/>
          <w:szCs w:val="24"/>
          <w:lang w:val="en-US"/>
        </w:rPr>
        <w:t>are paid</w:t>
      </w:r>
      <w:proofErr w:type="gramEnd"/>
      <w:r w:rsidR="00067520">
        <w:rPr>
          <w:sz w:val="24"/>
          <w:szCs w:val="24"/>
          <w:lang w:val="en-US"/>
        </w:rPr>
        <w:t xml:space="preserve"> in full. </w:t>
      </w:r>
      <w:r w:rsidR="006C420E">
        <w:rPr>
          <w:sz w:val="24"/>
          <w:szCs w:val="24"/>
          <w:lang w:val="en-US"/>
        </w:rPr>
        <w:t xml:space="preserve">It thus </w:t>
      </w:r>
      <w:r w:rsidR="006F74FA">
        <w:rPr>
          <w:sz w:val="24"/>
          <w:szCs w:val="24"/>
          <w:lang w:val="en-US"/>
        </w:rPr>
        <w:t>reduces</w:t>
      </w:r>
      <w:r w:rsidR="006C420E">
        <w:rPr>
          <w:sz w:val="24"/>
          <w:szCs w:val="24"/>
          <w:lang w:val="en-US"/>
        </w:rPr>
        <w:t xml:space="preserve"> the creditworthiness of the corporation </w:t>
      </w:r>
      <w:r w:rsidR="006F74FA">
        <w:rPr>
          <w:sz w:val="24"/>
          <w:szCs w:val="24"/>
          <w:lang w:val="en-US"/>
        </w:rPr>
        <w:t>to the detriment of</w:t>
      </w:r>
      <w:r w:rsidR="006C420E">
        <w:rPr>
          <w:sz w:val="24"/>
          <w:szCs w:val="24"/>
          <w:lang w:val="en-US"/>
        </w:rPr>
        <w:t xml:space="preserve"> </w:t>
      </w:r>
      <w:r w:rsidR="002E600E">
        <w:rPr>
          <w:sz w:val="24"/>
          <w:szCs w:val="24"/>
          <w:lang w:val="en-US"/>
        </w:rPr>
        <w:t xml:space="preserve">corporate creditors, thereby </w:t>
      </w:r>
      <w:r w:rsidR="005D281A">
        <w:rPr>
          <w:sz w:val="24"/>
          <w:szCs w:val="24"/>
          <w:lang w:val="en-US"/>
        </w:rPr>
        <w:t xml:space="preserve">strengthening the case for enhanced creditor protection through unlimited liability. </w:t>
      </w:r>
    </w:p>
    <w:p w:rsidR="004010B8" w:rsidRDefault="00FA6644" w:rsidP="004010B8">
      <w:pPr>
        <w:ind w:firstLine="708"/>
        <w:jc w:val="both"/>
        <w:rPr>
          <w:sz w:val="24"/>
          <w:szCs w:val="24"/>
          <w:lang w:val="en-US"/>
        </w:rPr>
      </w:pPr>
      <w:r>
        <w:rPr>
          <w:sz w:val="24"/>
          <w:szCs w:val="24"/>
          <w:lang w:val="en-US"/>
        </w:rPr>
        <w:lastRenderedPageBreak/>
        <w:t>Second, there</w:t>
      </w:r>
      <w:r w:rsidR="00BB0DE9">
        <w:rPr>
          <w:sz w:val="24"/>
          <w:szCs w:val="24"/>
          <w:lang w:val="en-US"/>
        </w:rPr>
        <w:t xml:space="preserve"> is also </w:t>
      </w:r>
      <w:r w:rsidR="006D3FF4">
        <w:rPr>
          <w:sz w:val="24"/>
          <w:szCs w:val="24"/>
          <w:lang w:val="en-US"/>
        </w:rPr>
        <w:t xml:space="preserve">close interdependence between limited liability and delegated management. </w:t>
      </w:r>
      <w:r w:rsidR="00B32B71">
        <w:rPr>
          <w:sz w:val="24"/>
          <w:szCs w:val="24"/>
          <w:lang w:val="en-US"/>
        </w:rPr>
        <w:t xml:space="preserve">One of the main justifications for limited liability is precisely to </w:t>
      </w:r>
      <w:r w:rsidR="008379FF">
        <w:rPr>
          <w:sz w:val="24"/>
          <w:szCs w:val="24"/>
          <w:lang w:val="en-US"/>
        </w:rPr>
        <w:t xml:space="preserve">recognize and </w:t>
      </w:r>
      <w:r w:rsidR="006F74FA">
        <w:rPr>
          <w:sz w:val="24"/>
          <w:szCs w:val="24"/>
          <w:lang w:val="en-US"/>
        </w:rPr>
        <w:t>encourage the delegation of control</w:t>
      </w:r>
      <w:r w:rsidR="00550B27">
        <w:rPr>
          <w:sz w:val="24"/>
          <w:szCs w:val="24"/>
          <w:lang w:val="en-US"/>
        </w:rPr>
        <w:t xml:space="preserve">. </w:t>
      </w:r>
      <w:r w:rsidR="008379FF">
        <w:rPr>
          <w:sz w:val="24"/>
          <w:szCs w:val="24"/>
          <w:lang w:val="en-US"/>
        </w:rPr>
        <w:t xml:space="preserve">It seems unfair to hold shareholder liable for decisions they did not control. </w:t>
      </w:r>
      <w:r w:rsidR="00C44F07">
        <w:rPr>
          <w:sz w:val="24"/>
          <w:szCs w:val="24"/>
          <w:lang w:val="en-US"/>
        </w:rPr>
        <w:t xml:space="preserve">However, as we have seen, delegated management is far weaker in Brazil: capital markets are </w:t>
      </w:r>
      <w:r w:rsidR="004010B8">
        <w:rPr>
          <w:sz w:val="24"/>
          <w:szCs w:val="24"/>
          <w:lang w:val="en-US"/>
        </w:rPr>
        <w:t>only relatively developed</w:t>
      </w:r>
      <w:r w:rsidR="00C44F07">
        <w:rPr>
          <w:sz w:val="24"/>
          <w:szCs w:val="24"/>
          <w:lang w:val="en-US"/>
        </w:rPr>
        <w:t xml:space="preserve">, the vast majority of listed companies have controlling shareholders, and </w:t>
      </w:r>
      <w:r w:rsidR="004010B8">
        <w:rPr>
          <w:sz w:val="24"/>
          <w:szCs w:val="24"/>
          <w:lang w:val="en-US"/>
        </w:rPr>
        <w:t>corporate law discourage</w:t>
      </w:r>
      <w:r w:rsidR="006F74FA">
        <w:rPr>
          <w:sz w:val="24"/>
          <w:szCs w:val="24"/>
          <w:lang w:val="en-US"/>
        </w:rPr>
        <w:t>s</w:t>
      </w:r>
      <w:r w:rsidR="004010B8">
        <w:rPr>
          <w:sz w:val="24"/>
          <w:szCs w:val="24"/>
          <w:lang w:val="en-US"/>
        </w:rPr>
        <w:t xml:space="preserve"> delegation by granting unusually great powers to shareholders.</w:t>
      </w:r>
      <w:r w:rsidR="008379FF">
        <w:rPr>
          <w:sz w:val="24"/>
          <w:szCs w:val="24"/>
          <w:lang w:val="en-US"/>
        </w:rPr>
        <w:t xml:space="preserve"> </w:t>
      </w:r>
    </w:p>
    <w:p w:rsidR="0053440D" w:rsidRDefault="004E58AD" w:rsidP="004010B8">
      <w:pPr>
        <w:ind w:firstLine="708"/>
        <w:jc w:val="both"/>
        <w:rPr>
          <w:sz w:val="24"/>
          <w:szCs w:val="24"/>
          <w:lang w:val="en-US"/>
        </w:rPr>
      </w:pPr>
      <w:r>
        <w:rPr>
          <w:sz w:val="24"/>
          <w:szCs w:val="24"/>
          <w:lang w:val="en-US"/>
        </w:rPr>
        <w:t>Third, l</w:t>
      </w:r>
      <w:r w:rsidR="0053440D">
        <w:rPr>
          <w:sz w:val="24"/>
          <w:szCs w:val="24"/>
          <w:lang w:val="en-US"/>
        </w:rPr>
        <w:t>imited liability also relates to transferability</w:t>
      </w:r>
      <w:r w:rsidR="006C6819">
        <w:rPr>
          <w:sz w:val="24"/>
          <w:szCs w:val="24"/>
          <w:lang w:val="en-US"/>
        </w:rPr>
        <w:t xml:space="preserve"> both indirectly, by encourag</w:t>
      </w:r>
      <w:r w:rsidR="00C15357">
        <w:rPr>
          <w:sz w:val="24"/>
          <w:szCs w:val="24"/>
          <w:lang w:val="en-US"/>
        </w:rPr>
        <w:t xml:space="preserve">ing delegated management, and </w:t>
      </w:r>
      <w:r w:rsidR="006C6819">
        <w:rPr>
          <w:sz w:val="24"/>
          <w:szCs w:val="24"/>
          <w:lang w:val="en-US"/>
        </w:rPr>
        <w:t>directly, by permitting the uniform pricing of corporate shares irrespective of the financial condition of owners</w:t>
      </w:r>
      <w:r w:rsidR="0053440D">
        <w:rPr>
          <w:sz w:val="24"/>
          <w:szCs w:val="24"/>
          <w:lang w:val="en-US"/>
        </w:rPr>
        <w:t xml:space="preserve">. In fact, another traditional justification for limited liability is that it permits the uniform pricing of corporate shares. This, in turn, facilitates hostile takeovers, whose </w:t>
      </w:r>
      <w:r w:rsidR="006F74FA">
        <w:rPr>
          <w:sz w:val="24"/>
          <w:szCs w:val="24"/>
          <w:lang w:val="en-US"/>
        </w:rPr>
        <w:t xml:space="preserve">threat </w:t>
      </w:r>
      <w:r w:rsidR="0053440D">
        <w:rPr>
          <w:sz w:val="24"/>
          <w:szCs w:val="24"/>
          <w:lang w:val="en-US"/>
        </w:rPr>
        <w:t xml:space="preserve">constitutes a powerful remedy against managerial </w:t>
      </w:r>
      <w:r w:rsidR="001164C1">
        <w:rPr>
          <w:sz w:val="24"/>
          <w:szCs w:val="24"/>
          <w:lang w:val="en-US"/>
        </w:rPr>
        <w:t xml:space="preserve">agency costs. </w:t>
      </w:r>
      <w:r w:rsidR="000A59F2">
        <w:rPr>
          <w:sz w:val="24"/>
          <w:szCs w:val="24"/>
          <w:lang w:val="en-US"/>
        </w:rPr>
        <w:t xml:space="preserve">Nevertheless, the concentrated ownership structure of Brazilian corporations </w:t>
      </w:r>
      <w:r w:rsidR="006F74FA">
        <w:rPr>
          <w:sz w:val="24"/>
          <w:szCs w:val="24"/>
          <w:lang w:val="en-US"/>
        </w:rPr>
        <w:t>makes</w:t>
      </w:r>
      <w:r w:rsidR="000A59F2">
        <w:rPr>
          <w:sz w:val="24"/>
          <w:szCs w:val="24"/>
          <w:lang w:val="en-US"/>
        </w:rPr>
        <w:t xml:space="preserve"> hostile takeovers</w:t>
      </w:r>
      <w:r w:rsidR="006F74FA">
        <w:rPr>
          <w:sz w:val="24"/>
          <w:szCs w:val="24"/>
          <w:lang w:val="en-US"/>
        </w:rPr>
        <w:t xml:space="preserve"> impossible</w:t>
      </w:r>
      <w:r w:rsidR="000A59F2">
        <w:rPr>
          <w:sz w:val="24"/>
          <w:szCs w:val="24"/>
          <w:lang w:val="en-US"/>
        </w:rPr>
        <w:t xml:space="preserve">, thus also eliminating this justification. </w:t>
      </w:r>
    </w:p>
    <w:p w:rsidR="00B07E37" w:rsidRPr="00212111" w:rsidRDefault="004E58AD" w:rsidP="006844E3">
      <w:pPr>
        <w:ind w:firstLine="708"/>
        <w:jc w:val="both"/>
        <w:rPr>
          <w:sz w:val="24"/>
          <w:szCs w:val="24"/>
          <w:lang w:val="en-US"/>
        </w:rPr>
      </w:pPr>
      <w:r>
        <w:rPr>
          <w:sz w:val="24"/>
          <w:szCs w:val="24"/>
          <w:lang w:val="en-US"/>
        </w:rPr>
        <w:t>In conclusion</w:t>
      </w:r>
      <w:r w:rsidR="00212111" w:rsidRPr="00212111">
        <w:rPr>
          <w:sz w:val="24"/>
          <w:szCs w:val="24"/>
          <w:lang w:val="en-US"/>
        </w:rPr>
        <w:t xml:space="preserve">, </w:t>
      </w:r>
      <w:r w:rsidR="00214B15">
        <w:rPr>
          <w:sz w:val="24"/>
          <w:szCs w:val="24"/>
          <w:lang w:val="en-US"/>
        </w:rPr>
        <w:t xml:space="preserve">the paradigm of investor ownership offers strong support to </w:t>
      </w:r>
      <w:r w:rsidR="00D01014">
        <w:rPr>
          <w:sz w:val="24"/>
          <w:szCs w:val="24"/>
          <w:lang w:val="en-US"/>
        </w:rPr>
        <w:t xml:space="preserve">limited liability, for this requirement aims precisely to limit the risk exposure of </w:t>
      </w:r>
      <w:proofErr w:type="gramStart"/>
      <w:r w:rsidR="00D01014">
        <w:rPr>
          <w:sz w:val="24"/>
          <w:szCs w:val="24"/>
          <w:lang w:val="en-US"/>
        </w:rPr>
        <w:t>financially-motivated</w:t>
      </w:r>
      <w:proofErr w:type="gramEnd"/>
      <w:r w:rsidR="00D01014">
        <w:rPr>
          <w:sz w:val="24"/>
          <w:szCs w:val="24"/>
          <w:lang w:val="en-US"/>
        </w:rPr>
        <w:t xml:space="preserve"> shareholders and to encourage participation in risky, but potentially fruitful, ventures. </w:t>
      </w:r>
      <w:r w:rsidR="005371CB">
        <w:rPr>
          <w:sz w:val="24"/>
          <w:szCs w:val="24"/>
          <w:lang w:val="en-US"/>
        </w:rPr>
        <w:t>Limited liability is far less consequential in the context of state ownership, especially because</w:t>
      </w:r>
      <w:r w:rsidR="003F4BE2">
        <w:rPr>
          <w:sz w:val="24"/>
          <w:szCs w:val="24"/>
          <w:lang w:val="en-US"/>
        </w:rPr>
        <w:t xml:space="preserve"> it is unclear that, as a practical matter, SOEs </w:t>
      </w:r>
      <w:r w:rsidR="00434B1C">
        <w:rPr>
          <w:sz w:val="24"/>
          <w:szCs w:val="24"/>
          <w:lang w:val="en-US"/>
        </w:rPr>
        <w:t>present</w:t>
      </w:r>
      <w:r w:rsidR="003F4BE2">
        <w:rPr>
          <w:sz w:val="24"/>
          <w:szCs w:val="24"/>
          <w:lang w:val="en-US"/>
        </w:rPr>
        <w:t xml:space="preserve"> limited liability. Instead, international experience and investors’ perceptions suggest that states</w:t>
      </w:r>
      <w:r w:rsidR="003D0833">
        <w:rPr>
          <w:sz w:val="24"/>
          <w:szCs w:val="24"/>
          <w:lang w:val="en-US"/>
        </w:rPr>
        <w:t xml:space="preserve"> are likely to bail </w:t>
      </w:r>
      <w:r w:rsidR="003F4BE2">
        <w:rPr>
          <w:sz w:val="24"/>
          <w:szCs w:val="24"/>
          <w:lang w:val="en-US"/>
        </w:rPr>
        <w:t>o</w:t>
      </w:r>
      <w:r w:rsidR="00347EC8">
        <w:rPr>
          <w:sz w:val="24"/>
          <w:szCs w:val="24"/>
          <w:lang w:val="en-US"/>
        </w:rPr>
        <w:t>ut SOEs</w:t>
      </w:r>
      <w:r w:rsidR="006C6819">
        <w:rPr>
          <w:sz w:val="24"/>
          <w:szCs w:val="24"/>
          <w:lang w:val="en-US"/>
        </w:rPr>
        <w:t>, and the adoption of the corporate form with limited liability is not a credible commitment to the contrary</w:t>
      </w:r>
      <w:r w:rsidR="00347EC8">
        <w:rPr>
          <w:sz w:val="24"/>
          <w:szCs w:val="24"/>
          <w:lang w:val="en-US"/>
        </w:rPr>
        <w:t>.</w:t>
      </w:r>
      <w:r w:rsidR="006C6819">
        <w:rPr>
          <w:rStyle w:val="Refdenotaderodap"/>
          <w:sz w:val="24"/>
          <w:szCs w:val="24"/>
          <w:lang w:val="en-US"/>
        </w:rPr>
        <w:footnoteReference w:id="222"/>
      </w:r>
      <w:r w:rsidR="00347EC8">
        <w:rPr>
          <w:sz w:val="24"/>
          <w:szCs w:val="24"/>
          <w:lang w:val="en-US"/>
        </w:rPr>
        <w:t xml:space="preserve"> </w:t>
      </w:r>
      <w:r w:rsidR="00073BE0">
        <w:rPr>
          <w:sz w:val="24"/>
          <w:szCs w:val="24"/>
          <w:lang w:val="en-US"/>
        </w:rPr>
        <w:t xml:space="preserve">In </w:t>
      </w:r>
      <w:r w:rsidR="003D231D">
        <w:rPr>
          <w:sz w:val="24"/>
          <w:szCs w:val="24"/>
          <w:lang w:val="en-US"/>
        </w:rPr>
        <w:t xml:space="preserve">fact, the formal exclusion of SOEs from bankruptcy laws in Brazil offers further support to this reasoning. </w:t>
      </w:r>
    </w:p>
    <w:p w:rsidR="006844E3" w:rsidRDefault="00E725E0" w:rsidP="00E725E0">
      <w:pPr>
        <w:keepNext/>
        <w:ind w:firstLine="709"/>
        <w:jc w:val="both"/>
        <w:rPr>
          <w:sz w:val="24"/>
          <w:szCs w:val="24"/>
          <w:lang w:val="en-US"/>
        </w:rPr>
      </w:pPr>
      <w:r>
        <w:rPr>
          <w:sz w:val="24"/>
          <w:szCs w:val="24"/>
          <w:lang w:val="en-US"/>
        </w:rPr>
        <w:t>2.</w:t>
      </w:r>
      <w:r w:rsidR="00C2223D">
        <w:rPr>
          <w:sz w:val="24"/>
          <w:szCs w:val="24"/>
          <w:lang w:val="en-US"/>
        </w:rPr>
        <w:tab/>
      </w:r>
      <w:r w:rsidR="00531AE7" w:rsidRPr="00E725E0">
        <w:rPr>
          <w:i/>
          <w:sz w:val="24"/>
          <w:szCs w:val="24"/>
          <w:lang w:val="en-US"/>
        </w:rPr>
        <w:t>Lock-i</w:t>
      </w:r>
      <w:r w:rsidR="00C2223D" w:rsidRPr="00E725E0">
        <w:rPr>
          <w:i/>
          <w:sz w:val="24"/>
          <w:szCs w:val="24"/>
          <w:lang w:val="en-US"/>
        </w:rPr>
        <w:t>n</w:t>
      </w:r>
    </w:p>
    <w:p w:rsidR="00FD753D" w:rsidRDefault="00324B80" w:rsidP="006844E3">
      <w:pPr>
        <w:ind w:firstLine="708"/>
        <w:jc w:val="both"/>
        <w:rPr>
          <w:sz w:val="24"/>
          <w:szCs w:val="24"/>
          <w:lang w:val="en-US"/>
        </w:rPr>
      </w:pPr>
      <w:r>
        <w:rPr>
          <w:sz w:val="24"/>
          <w:szCs w:val="24"/>
          <w:lang w:val="en-US"/>
        </w:rPr>
        <w:t xml:space="preserve">There is also an efficiency case for granting minority shareholders withdrawal rights in close corporations. </w:t>
      </w:r>
      <w:r w:rsidR="00FD753D">
        <w:rPr>
          <w:sz w:val="24"/>
          <w:szCs w:val="24"/>
          <w:lang w:val="en-US"/>
        </w:rPr>
        <w:t xml:space="preserve">In </w:t>
      </w:r>
      <w:r>
        <w:rPr>
          <w:sz w:val="24"/>
          <w:szCs w:val="24"/>
          <w:lang w:val="en-US"/>
        </w:rPr>
        <w:t>abolishing</w:t>
      </w:r>
      <w:r w:rsidR="00FD753D">
        <w:rPr>
          <w:sz w:val="24"/>
          <w:szCs w:val="24"/>
          <w:lang w:val="en-US"/>
        </w:rPr>
        <w:t xml:space="preserve"> lock-in for close corporations, Brazilian courts have unknowingly </w:t>
      </w:r>
      <w:r w:rsidR="009F7E73">
        <w:rPr>
          <w:sz w:val="24"/>
          <w:szCs w:val="24"/>
          <w:lang w:val="en-US"/>
        </w:rPr>
        <w:t>implemented the presc</w:t>
      </w:r>
      <w:r w:rsidR="00805363">
        <w:rPr>
          <w:sz w:val="24"/>
          <w:szCs w:val="24"/>
          <w:lang w:val="en-US"/>
        </w:rPr>
        <w:t xml:space="preserve">ription of certain U.S. scholars since the 1950s. </w:t>
      </w:r>
      <w:r w:rsidR="00EC583F">
        <w:rPr>
          <w:sz w:val="24"/>
          <w:szCs w:val="24"/>
          <w:lang w:val="en-US"/>
        </w:rPr>
        <w:t xml:space="preserve">The </w:t>
      </w:r>
      <w:r w:rsidR="00F916E2">
        <w:rPr>
          <w:sz w:val="24"/>
          <w:szCs w:val="24"/>
          <w:lang w:val="en-US"/>
        </w:rPr>
        <w:t xml:space="preserve">usual </w:t>
      </w:r>
      <w:r w:rsidR="00EC583F">
        <w:rPr>
          <w:sz w:val="24"/>
          <w:szCs w:val="24"/>
          <w:lang w:val="en-US"/>
        </w:rPr>
        <w:t xml:space="preserve">justification for this view lies in the </w:t>
      </w:r>
      <w:r w:rsidR="009450F3">
        <w:rPr>
          <w:sz w:val="24"/>
          <w:szCs w:val="24"/>
          <w:lang w:val="en-US"/>
        </w:rPr>
        <w:t xml:space="preserve">lack of protection and liquidity </w:t>
      </w:r>
      <w:r>
        <w:rPr>
          <w:sz w:val="24"/>
          <w:szCs w:val="24"/>
          <w:lang w:val="en-US"/>
        </w:rPr>
        <w:t>for</w:t>
      </w:r>
      <w:r w:rsidR="009450F3">
        <w:rPr>
          <w:sz w:val="24"/>
          <w:szCs w:val="24"/>
          <w:lang w:val="en-US"/>
        </w:rPr>
        <w:t xml:space="preserve"> minority shareholders</w:t>
      </w:r>
      <w:r w:rsidR="004C49DA">
        <w:rPr>
          <w:sz w:val="24"/>
          <w:szCs w:val="24"/>
          <w:lang w:val="en-US"/>
        </w:rPr>
        <w:t>, which permits exploitative behavior by the majority</w:t>
      </w:r>
      <w:r w:rsidR="009450F3">
        <w:rPr>
          <w:sz w:val="24"/>
          <w:szCs w:val="24"/>
          <w:lang w:val="en-US"/>
        </w:rPr>
        <w:t>.</w:t>
      </w:r>
      <w:r w:rsidR="006878B8">
        <w:rPr>
          <w:sz w:val="24"/>
          <w:szCs w:val="24"/>
          <w:lang w:val="en-US"/>
        </w:rPr>
        <w:t xml:space="preserve"> Indeed, both historical and contemporary evidence suggests that </w:t>
      </w:r>
      <w:r w:rsidR="00F916E2">
        <w:rPr>
          <w:sz w:val="24"/>
          <w:szCs w:val="24"/>
          <w:lang w:val="en-US"/>
        </w:rPr>
        <w:t>investors</w:t>
      </w:r>
      <w:r w:rsidR="006878B8">
        <w:rPr>
          <w:sz w:val="24"/>
          <w:szCs w:val="24"/>
          <w:lang w:val="en-US"/>
        </w:rPr>
        <w:t xml:space="preserve"> have </w:t>
      </w:r>
      <w:r w:rsidR="00F916E2">
        <w:rPr>
          <w:sz w:val="24"/>
          <w:szCs w:val="24"/>
          <w:lang w:val="en-US"/>
        </w:rPr>
        <w:t>favored liberal</w:t>
      </w:r>
      <w:r w:rsidR="00F46112">
        <w:rPr>
          <w:sz w:val="24"/>
          <w:szCs w:val="24"/>
          <w:lang w:val="en-US"/>
        </w:rPr>
        <w:t xml:space="preserve"> withdrawal</w:t>
      </w:r>
      <w:r w:rsidR="006878B8">
        <w:rPr>
          <w:sz w:val="24"/>
          <w:szCs w:val="24"/>
          <w:lang w:val="en-US"/>
        </w:rPr>
        <w:t xml:space="preserve"> rights whenever agency costs are particularly severe.</w:t>
      </w:r>
      <w:r w:rsidR="006878B8">
        <w:rPr>
          <w:rStyle w:val="Refdenotaderodap"/>
          <w:sz w:val="24"/>
          <w:szCs w:val="24"/>
          <w:lang w:val="en-US"/>
        </w:rPr>
        <w:footnoteReference w:id="223"/>
      </w:r>
      <w:r w:rsidR="006878B8">
        <w:rPr>
          <w:sz w:val="24"/>
          <w:szCs w:val="24"/>
          <w:lang w:val="en-US"/>
        </w:rPr>
        <w:t xml:space="preserve"> </w:t>
      </w:r>
      <w:r w:rsidR="009450F3">
        <w:rPr>
          <w:sz w:val="24"/>
          <w:szCs w:val="24"/>
          <w:lang w:val="en-US"/>
        </w:rPr>
        <w:t xml:space="preserve"> </w:t>
      </w:r>
    </w:p>
    <w:p w:rsidR="009450F3" w:rsidRDefault="006C46C8" w:rsidP="006844E3">
      <w:pPr>
        <w:ind w:firstLine="708"/>
        <w:jc w:val="both"/>
        <w:rPr>
          <w:sz w:val="24"/>
          <w:szCs w:val="24"/>
          <w:lang w:val="en-US"/>
        </w:rPr>
      </w:pPr>
      <w:r>
        <w:rPr>
          <w:sz w:val="24"/>
          <w:szCs w:val="24"/>
          <w:lang w:val="en-US"/>
        </w:rPr>
        <w:t xml:space="preserve">A modified version of the efficiency argument against lock-in takes into consideration the existence of complementary institutions. </w:t>
      </w:r>
      <w:r w:rsidR="00F46112">
        <w:rPr>
          <w:sz w:val="24"/>
          <w:szCs w:val="24"/>
          <w:lang w:val="en-US"/>
        </w:rPr>
        <w:t xml:space="preserve">Even the strongest defenses of lock-in explicitly rely on “vigorous judicial enforcement” of the rule requiring pro rata </w:t>
      </w:r>
      <w:r w:rsidR="00F46112">
        <w:rPr>
          <w:sz w:val="24"/>
          <w:szCs w:val="24"/>
          <w:lang w:val="en-US"/>
        </w:rPr>
        <w:lastRenderedPageBreak/>
        <w:t>distributions</w:t>
      </w:r>
      <w:r w:rsidR="00EB37ED">
        <w:rPr>
          <w:sz w:val="24"/>
          <w:szCs w:val="24"/>
          <w:lang w:val="en-US"/>
        </w:rPr>
        <w:t>.</w:t>
      </w:r>
      <w:r w:rsidR="000F57E3">
        <w:rPr>
          <w:rStyle w:val="Refdenotaderodap"/>
          <w:sz w:val="24"/>
          <w:szCs w:val="24"/>
          <w:lang w:val="en-US"/>
        </w:rPr>
        <w:footnoteReference w:id="224"/>
      </w:r>
      <w:r w:rsidR="000F57E3">
        <w:rPr>
          <w:sz w:val="24"/>
          <w:szCs w:val="24"/>
          <w:lang w:val="en-US"/>
        </w:rPr>
        <w:t xml:space="preserve"> Yet such vigorous judicial enforcement is notoriously absent in Brazil.</w:t>
      </w:r>
      <w:r w:rsidR="0096092B">
        <w:rPr>
          <w:sz w:val="24"/>
          <w:szCs w:val="24"/>
          <w:lang w:val="en-US"/>
        </w:rPr>
        <w:t xml:space="preserve"> Recall that existing</w:t>
      </w:r>
      <w:r w:rsidR="00E24CDF">
        <w:rPr>
          <w:sz w:val="24"/>
          <w:szCs w:val="24"/>
          <w:lang w:val="en-US"/>
        </w:rPr>
        <w:t xml:space="preserve"> estimates</w:t>
      </w:r>
      <w:r w:rsidR="00824BDA">
        <w:rPr>
          <w:sz w:val="24"/>
          <w:szCs w:val="24"/>
          <w:lang w:val="en-US"/>
        </w:rPr>
        <w:t xml:space="preserve"> describe the levels of</w:t>
      </w:r>
      <w:r w:rsidR="00E24CDF">
        <w:rPr>
          <w:sz w:val="24"/>
          <w:szCs w:val="24"/>
          <w:lang w:val="en-US"/>
        </w:rPr>
        <w:t xml:space="preserve"> private benefits of control </w:t>
      </w:r>
      <w:r w:rsidR="00824BDA">
        <w:rPr>
          <w:sz w:val="24"/>
          <w:szCs w:val="24"/>
          <w:lang w:val="en-US"/>
        </w:rPr>
        <w:t>extracted from</w:t>
      </w:r>
      <w:r w:rsidR="00E24CDF">
        <w:rPr>
          <w:sz w:val="24"/>
          <w:szCs w:val="24"/>
          <w:lang w:val="en-US"/>
        </w:rPr>
        <w:t xml:space="preserve"> public corporations in Brazil </w:t>
      </w:r>
      <w:r w:rsidR="00824BDA">
        <w:rPr>
          <w:sz w:val="24"/>
          <w:szCs w:val="24"/>
          <w:lang w:val="en-US"/>
        </w:rPr>
        <w:t>as among</w:t>
      </w:r>
      <w:r w:rsidR="005466C9">
        <w:rPr>
          <w:sz w:val="24"/>
          <w:szCs w:val="24"/>
          <w:lang w:val="en-US"/>
        </w:rPr>
        <w:t xml:space="preserve"> the</w:t>
      </w:r>
      <w:r w:rsidR="00E24CDF">
        <w:rPr>
          <w:sz w:val="24"/>
          <w:szCs w:val="24"/>
          <w:lang w:val="en-US"/>
        </w:rPr>
        <w:t xml:space="preserve"> largest in the world.</w:t>
      </w:r>
      <w:r w:rsidR="003A7B09">
        <w:rPr>
          <w:rStyle w:val="Refdenotaderodap"/>
          <w:sz w:val="24"/>
          <w:szCs w:val="24"/>
          <w:lang w:val="en-US"/>
        </w:rPr>
        <w:footnoteReference w:id="225"/>
      </w:r>
      <w:r w:rsidR="00BF79A3">
        <w:rPr>
          <w:sz w:val="24"/>
          <w:szCs w:val="24"/>
          <w:lang w:val="en-US"/>
        </w:rPr>
        <w:t xml:space="preserve"> Given the lack of regulatory oversight and exit options for minority investors, t</w:t>
      </w:r>
      <w:r w:rsidR="001A26AC">
        <w:rPr>
          <w:sz w:val="24"/>
          <w:szCs w:val="24"/>
          <w:lang w:val="en-US"/>
        </w:rPr>
        <w:t>he opportunity for exploitation is likely greater in the close corporation context</w:t>
      </w:r>
      <w:r w:rsidR="00BF79A3">
        <w:rPr>
          <w:sz w:val="24"/>
          <w:szCs w:val="24"/>
          <w:lang w:val="en-US"/>
        </w:rPr>
        <w:t xml:space="preserve">. All of this suggests that there is, at least, </w:t>
      </w:r>
      <w:r w:rsidR="00F94C1C">
        <w:rPr>
          <w:sz w:val="24"/>
          <w:szCs w:val="24"/>
          <w:lang w:val="en-US"/>
        </w:rPr>
        <w:t xml:space="preserve">a stronger case </w:t>
      </w:r>
      <w:r w:rsidR="00F46112">
        <w:rPr>
          <w:sz w:val="24"/>
          <w:szCs w:val="24"/>
          <w:lang w:val="en-US"/>
        </w:rPr>
        <w:t>for protecting</w:t>
      </w:r>
      <w:r w:rsidR="00F94C1C">
        <w:rPr>
          <w:sz w:val="24"/>
          <w:szCs w:val="24"/>
          <w:lang w:val="en-US"/>
        </w:rPr>
        <w:t xml:space="preserve"> minority shareholders through exit rights</w:t>
      </w:r>
      <w:r w:rsidR="004724DC">
        <w:rPr>
          <w:sz w:val="24"/>
          <w:szCs w:val="24"/>
          <w:lang w:val="en-US"/>
        </w:rPr>
        <w:t xml:space="preserve"> in this context</w:t>
      </w:r>
      <w:r w:rsidR="00F94C1C">
        <w:rPr>
          <w:sz w:val="24"/>
          <w:szCs w:val="24"/>
          <w:lang w:val="en-US"/>
        </w:rPr>
        <w:t xml:space="preserve">. </w:t>
      </w:r>
    </w:p>
    <w:p w:rsidR="00B41601" w:rsidRDefault="0076726D" w:rsidP="00D23B9D">
      <w:pPr>
        <w:ind w:firstLine="708"/>
        <w:jc w:val="both"/>
        <w:rPr>
          <w:sz w:val="24"/>
          <w:szCs w:val="24"/>
          <w:lang w:val="en-US"/>
        </w:rPr>
      </w:pPr>
      <w:r>
        <w:rPr>
          <w:sz w:val="24"/>
          <w:szCs w:val="24"/>
          <w:lang w:val="en-US"/>
        </w:rPr>
        <w:t xml:space="preserve">To be sure, while </w:t>
      </w:r>
      <w:r w:rsidR="00D23B9D">
        <w:rPr>
          <w:sz w:val="24"/>
          <w:szCs w:val="24"/>
          <w:lang w:val="en-US"/>
        </w:rPr>
        <w:t>lock-in increases the risk of opportunism by majority shareholders, its absence generate</w:t>
      </w:r>
      <w:r w:rsidR="00F8748B">
        <w:rPr>
          <w:sz w:val="24"/>
          <w:szCs w:val="24"/>
          <w:lang w:val="en-US"/>
        </w:rPr>
        <w:t>s</w:t>
      </w:r>
      <w:r w:rsidR="00D23B9D">
        <w:rPr>
          <w:sz w:val="24"/>
          <w:szCs w:val="24"/>
          <w:lang w:val="en-US"/>
        </w:rPr>
        <w:t xml:space="preserve"> the different problem of untimely decapitalization of the firm</w:t>
      </w:r>
      <w:r w:rsidR="00A046EF">
        <w:rPr>
          <w:sz w:val="24"/>
          <w:szCs w:val="24"/>
          <w:lang w:val="en-US"/>
        </w:rPr>
        <w:t xml:space="preserve">, either </w:t>
      </w:r>
      <w:r w:rsidR="00083762">
        <w:rPr>
          <w:sz w:val="24"/>
          <w:szCs w:val="24"/>
          <w:lang w:val="en-US"/>
        </w:rPr>
        <w:t>due to</w:t>
      </w:r>
      <w:r w:rsidR="00A046EF">
        <w:rPr>
          <w:sz w:val="24"/>
          <w:szCs w:val="24"/>
          <w:lang w:val="en-US"/>
        </w:rPr>
        <w:t xml:space="preserve"> opportunistic hold-up by minor</w:t>
      </w:r>
      <w:r w:rsidR="00083762">
        <w:rPr>
          <w:sz w:val="24"/>
          <w:szCs w:val="24"/>
          <w:lang w:val="en-US"/>
        </w:rPr>
        <w:t>ity shareholders or to their</w:t>
      </w:r>
      <w:r w:rsidR="00A046EF">
        <w:rPr>
          <w:sz w:val="24"/>
          <w:szCs w:val="24"/>
          <w:lang w:val="en-US"/>
        </w:rPr>
        <w:t xml:space="preserve"> idiosyncratic liquidity needs. </w:t>
      </w:r>
      <w:r w:rsidR="00552E12">
        <w:rPr>
          <w:sz w:val="24"/>
          <w:szCs w:val="24"/>
          <w:lang w:val="en-US"/>
        </w:rPr>
        <w:t>The</w:t>
      </w:r>
      <w:r w:rsidR="00E14821">
        <w:rPr>
          <w:sz w:val="24"/>
          <w:szCs w:val="24"/>
          <w:lang w:val="en-US"/>
        </w:rPr>
        <w:t xml:space="preserve"> leading </w:t>
      </w:r>
      <w:r w:rsidR="00552E12">
        <w:rPr>
          <w:sz w:val="24"/>
          <w:szCs w:val="24"/>
          <w:lang w:val="en-US"/>
        </w:rPr>
        <w:t xml:space="preserve">case involving pulp and paper firm COCELPA illustrates this risk. Leaving aside </w:t>
      </w:r>
      <w:r w:rsidR="002266BE">
        <w:rPr>
          <w:sz w:val="24"/>
          <w:szCs w:val="24"/>
          <w:lang w:val="en-US"/>
        </w:rPr>
        <w:t xml:space="preserve">the various </w:t>
      </w:r>
      <w:r w:rsidR="00552E12">
        <w:rPr>
          <w:sz w:val="24"/>
          <w:szCs w:val="24"/>
          <w:lang w:val="en-US"/>
        </w:rPr>
        <w:t xml:space="preserve">allegations of tunneling, </w:t>
      </w:r>
      <w:r w:rsidR="002266BE">
        <w:rPr>
          <w:sz w:val="24"/>
          <w:szCs w:val="24"/>
          <w:lang w:val="en-US"/>
        </w:rPr>
        <w:t xml:space="preserve">this is a case involving an industry particularly vulnerable to untimely dissolution, since it takes several years for trees to mature. Nevertheless, </w:t>
      </w:r>
      <w:r w:rsidR="00A8731D">
        <w:rPr>
          <w:sz w:val="24"/>
          <w:szCs w:val="24"/>
          <w:lang w:val="en-US"/>
        </w:rPr>
        <w:t xml:space="preserve">even though </w:t>
      </w:r>
      <w:r w:rsidR="00F46112">
        <w:rPr>
          <w:sz w:val="24"/>
          <w:szCs w:val="24"/>
          <w:lang w:val="en-US"/>
        </w:rPr>
        <w:t xml:space="preserve">shareholders filed suit in 1991 and obtain a final decision recognizing the right to a partial dissolution </w:t>
      </w:r>
      <w:r w:rsidR="00A8731D">
        <w:rPr>
          <w:sz w:val="24"/>
          <w:szCs w:val="24"/>
          <w:lang w:val="en-US"/>
        </w:rPr>
        <w:t>by the Superior Court of Justice in</w:t>
      </w:r>
      <w:r w:rsidR="00A73B47">
        <w:rPr>
          <w:sz w:val="24"/>
          <w:szCs w:val="24"/>
          <w:lang w:val="en-US"/>
        </w:rPr>
        <w:t xml:space="preserve"> 2007</w:t>
      </w:r>
      <w:r w:rsidR="00A8731D">
        <w:rPr>
          <w:sz w:val="24"/>
          <w:szCs w:val="24"/>
          <w:lang w:val="en-US"/>
        </w:rPr>
        <w:t xml:space="preserve">, </w:t>
      </w:r>
      <w:r w:rsidR="00F46112">
        <w:rPr>
          <w:sz w:val="24"/>
          <w:szCs w:val="24"/>
          <w:lang w:val="en-US"/>
        </w:rPr>
        <w:t xml:space="preserve">they </w:t>
      </w:r>
      <w:r w:rsidR="00A73B47">
        <w:rPr>
          <w:sz w:val="24"/>
          <w:szCs w:val="24"/>
          <w:lang w:val="en-US"/>
        </w:rPr>
        <w:t xml:space="preserve">have yet to receive </w:t>
      </w:r>
      <w:r w:rsidR="00F46112">
        <w:rPr>
          <w:sz w:val="24"/>
          <w:szCs w:val="24"/>
          <w:lang w:val="en-US"/>
        </w:rPr>
        <w:t xml:space="preserve">the </w:t>
      </w:r>
      <w:r w:rsidR="00A73B47">
        <w:rPr>
          <w:sz w:val="24"/>
          <w:szCs w:val="24"/>
          <w:lang w:val="en-US"/>
        </w:rPr>
        <w:t>amounts</w:t>
      </w:r>
      <w:r w:rsidR="00A8731D">
        <w:rPr>
          <w:sz w:val="24"/>
          <w:szCs w:val="24"/>
          <w:lang w:val="en-US"/>
        </w:rPr>
        <w:t xml:space="preserve"> due.</w:t>
      </w:r>
      <w:r w:rsidR="00A8731D">
        <w:rPr>
          <w:rStyle w:val="Refdenotaderodap"/>
          <w:sz w:val="24"/>
          <w:szCs w:val="24"/>
          <w:lang w:val="en-US"/>
        </w:rPr>
        <w:footnoteReference w:id="226"/>
      </w:r>
      <w:r w:rsidR="00A8731D">
        <w:rPr>
          <w:sz w:val="24"/>
          <w:szCs w:val="24"/>
          <w:lang w:val="en-US"/>
        </w:rPr>
        <w:t xml:space="preserve"> A </w:t>
      </w:r>
      <w:r w:rsidR="00F01424">
        <w:rPr>
          <w:sz w:val="24"/>
          <w:szCs w:val="24"/>
          <w:lang w:val="en-US"/>
        </w:rPr>
        <w:t>sluggish</w:t>
      </w:r>
      <w:r w:rsidR="00A8731D">
        <w:rPr>
          <w:sz w:val="24"/>
          <w:szCs w:val="24"/>
          <w:lang w:val="en-US"/>
        </w:rPr>
        <w:t xml:space="preserve"> judiciary therefore reduces the </w:t>
      </w:r>
      <w:r w:rsidR="006B432C">
        <w:rPr>
          <w:sz w:val="24"/>
          <w:szCs w:val="24"/>
          <w:lang w:val="en-US"/>
        </w:rPr>
        <w:t>chances of untimely dissolution</w:t>
      </w:r>
      <w:r w:rsidR="0082678C">
        <w:rPr>
          <w:sz w:val="24"/>
          <w:szCs w:val="24"/>
          <w:lang w:val="en-US"/>
        </w:rPr>
        <w:t xml:space="preserve"> and the</w:t>
      </w:r>
      <w:r w:rsidR="006B432C">
        <w:rPr>
          <w:sz w:val="24"/>
          <w:szCs w:val="24"/>
          <w:lang w:val="en-US"/>
        </w:rPr>
        <w:t xml:space="preserve"> </w:t>
      </w:r>
      <w:r w:rsidR="00A8731D">
        <w:rPr>
          <w:sz w:val="24"/>
          <w:szCs w:val="24"/>
          <w:lang w:val="en-US"/>
        </w:rPr>
        <w:t>payoff of opportunistic hold-up</w:t>
      </w:r>
      <w:r w:rsidR="0082678C">
        <w:rPr>
          <w:sz w:val="24"/>
          <w:szCs w:val="24"/>
          <w:lang w:val="en-US"/>
        </w:rPr>
        <w:t>, though it also limits its benefits to minority shareholders</w:t>
      </w:r>
      <w:r w:rsidR="00A8731D">
        <w:rPr>
          <w:sz w:val="24"/>
          <w:szCs w:val="24"/>
          <w:lang w:val="en-US"/>
        </w:rPr>
        <w:t xml:space="preserve">. </w:t>
      </w:r>
    </w:p>
    <w:p w:rsidR="003F4CFD" w:rsidRDefault="00A5563B" w:rsidP="006A3075">
      <w:pPr>
        <w:ind w:firstLine="708"/>
        <w:jc w:val="both"/>
        <w:rPr>
          <w:sz w:val="24"/>
          <w:szCs w:val="24"/>
          <w:lang w:val="en-US"/>
        </w:rPr>
      </w:pPr>
      <w:r>
        <w:rPr>
          <w:sz w:val="24"/>
          <w:szCs w:val="24"/>
          <w:lang w:val="en-US"/>
        </w:rPr>
        <w:t>Beyond that, the decline of lock-in in Brazil relates in important ways to the other corporate attributes</w:t>
      </w:r>
      <w:r w:rsidR="00F01424">
        <w:rPr>
          <w:sz w:val="24"/>
          <w:szCs w:val="24"/>
          <w:lang w:val="en-US"/>
        </w:rPr>
        <w:t>. While the disappearance of lock-in</w:t>
      </w:r>
      <w:r w:rsidR="00C92733">
        <w:rPr>
          <w:sz w:val="24"/>
          <w:szCs w:val="24"/>
          <w:lang w:val="en-US"/>
        </w:rPr>
        <w:t xml:space="preserve"> strengthens the case for unlimited liability, </w:t>
      </w:r>
      <w:r w:rsidR="00A01660">
        <w:rPr>
          <w:sz w:val="24"/>
          <w:szCs w:val="24"/>
          <w:lang w:val="en-US"/>
        </w:rPr>
        <w:t xml:space="preserve">as discussed above, </w:t>
      </w:r>
      <w:r w:rsidR="00C92733">
        <w:rPr>
          <w:sz w:val="24"/>
          <w:szCs w:val="24"/>
          <w:lang w:val="en-US"/>
        </w:rPr>
        <w:t>the reverse is also t</w:t>
      </w:r>
      <w:r w:rsidR="000942BB">
        <w:rPr>
          <w:sz w:val="24"/>
          <w:szCs w:val="24"/>
          <w:lang w:val="en-US"/>
        </w:rPr>
        <w:t>rue.</w:t>
      </w:r>
      <w:r w:rsidR="00C92733">
        <w:rPr>
          <w:sz w:val="24"/>
          <w:szCs w:val="24"/>
          <w:lang w:val="en-US"/>
        </w:rPr>
        <w:t xml:space="preserve"> </w:t>
      </w:r>
      <w:r w:rsidR="000942BB">
        <w:rPr>
          <w:sz w:val="24"/>
          <w:szCs w:val="24"/>
          <w:lang w:val="en-US"/>
        </w:rPr>
        <w:t>T</w:t>
      </w:r>
      <w:r w:rsidR="0043743B">
        <w:rPr>
          <w:sz w:val="24"/>
          <w:szCs w:val="24"/>
          <w:lang w:val="en-US"/>
        </w:rPr>
        <w:t xml:space="preserve">he rise of unlimited liability militates in favor of </w:t>
      </w:r>
      <w:r w:rsidR="007547C2">
        <w:rPr>
          <w:sz w:val="24"/>
          <w:szCs w:val="24"/>
          <w:lang w:val="en-US"/>
        </w:rPr>
        <w:t>providing a fair exit option to minority shareholders</w:t>
      </w:r>
      <w:r w:rsidR="000942BB">
        <w:rPr>
          <w:sz w:val="24"/>
          <w:szCs w:val="24"/>
          <w:lang w:val="en-US"/>
        </w:rPr>
        <w:t>, who lack control over corporate operations but may be on the hook for obligations to workers, consumers, and environmental victims if things go sour</w:t>
      </w:r>
      <w:r w:rsidR="007547C2">
        <w:rPr>
          <w:sz w:val="24"/>
          <w:szCs w:val="24"/>
          <w:lang w:val="en-US"/>
        </w:rPr>
        <w:t>.</w:t>
      </w:r>
      <w:r w:rsidR="00AE6A6D">
        <w:rPr>
          <w:sz w:val="24"/>
          <w:szCs w:val="24"/>
          <w:lang w:val="en-US"/>
        </w:rPr>
        <w:t xml:space="preserve"> </w:t>
      </w:r>
      <w:r w:rsidR="007547C2">
        <w:rPr>
          <w:sz w:val="24"/>
          <w:szCs w:val="24"/>
          <w:lang w:val="en-US"/>
        </w:rPr>
        <w:t xml:space="preserve"> </w:t>
      </w:r>
    </w:p>
    <w:p w:rsidR="00A5563B" w:rsidRDefault="00A5563B" w:rsidP="00A5563B">
      <w:pPr>
        <w:ind w:firstLine="708"/>
        <w:jc w:val="both"/>
        <w:rPr>
          <w:sz w:val="24"/>
          <w:szCs w:val="24"/>
          <w:lang w:val="en-US"/>
        </w:rPr>
      </w:pPr>
      <w:r>
        <w:rPr>
          <w:sz w:val="24"/>
          <w:szCs w:val="24"/>
          <w:lang w:val="en-US"/>
        </w:rPr>
        <w:t xml:space="preserve">While lock-in likely </w:t>
      </w:r>
      <w:r w:rsidR="009D3734">
        <w:rPr>
          <w:sz w:val="24"/>
          <w:szCs w:val="24"/>
          <w:lang w:val="en-US"/>
        </w:rPr>
        <w:t>produces</w:t>
      </w:r>
      <w:r>
        <w:rPr>
          <w:sz w:val="24"/>
          <w:szCs w:val="24"/>
          <w:lang w:val="en-US"/>
        </w:rPr>
        <w:t xml:space="preserve"> greater costs in Brazil, some of its alleged benefits are less likely to be present in the country. Specifically, the benefit of lock-in in protecting specific investment by non-shareholder constituencies presupposes limited shareholder power. As we know, the overwhelming majority of corporations in Brazil have controlling shareholders. However, lock-in is hardly available against controlling shareholders, since corporate law generally permit</w:t>
      </w:r>
      <w:r w:rsidR="000C1510">
        <w:rPr>
          <w:sz w:val="24"/>
          <w:szCs w:val="24"/>
          <w:lang w:val="en-US"/>
        </w:rPr>
        <w:t>s</w:t>
      </w:r>
      <w:r>
        <w:rPr>
          <w:sz w:val="24"/>
          <w:szCs w:val="24"/>
          <w:lang w:val="en-US"/>
        </w:rPr>
        <w:t xml:space="preserve"> a majority or supermajority of </w:t>
      </w:r>
      <w:r>
        <w:rPr>
          <w:sz w:val="24"/>
          <w:szCs w:val="24"/>
          <w:lang w:val="en-US"/>
        </w:rPr>
        <w:lastRenderedPageBreak/>
        <w:t>shareholders to liquidate the firm.</w:t>
      </w:r>
      <w:r>
        <w:rPr>
          <w:rStyle w:val="Refdenotaderodap"/>
          <w:sz w:val="24"/>
          <w:szCs w:val="24"/>
          <w:lang w:val="en-US"/>
        </w:rPr>
        <w:footnoteReference w:id="227"/>
      </w:r>
      <w:r>
        <w:rPr>
          <w:sz w:val="24"/>
          <w:szCs w:val="24"/>
          <w:lang w:val="en-US"/>
        </w:rPr>
        <w:t xml:space="preserve"> Moreover, delegated management</w:t>
      </w:r>
      <w:r w:rsidR="000C1510">
        <w:rPr>
          <w:sz w:val="24"/>
          <w:szCs w:val="24"/>
          <w:lang w:val="en-US"/>
        </w:rPr>
        <w:t xml:space="preserve"> (not to mention board independence) </w:t>
      </w:r>
      <w:r>
        <w:rPr>
          <w:sz w:val="24"/>
          <w:szCs w:val="24"/>
          <w:lang w:val="en-US"/>
        </w:rPr>
        <w:t>is also particularly fragile in Brazil, hence reinforcing the controlling shareholder’s ability to hold up other constituencies.</w:t>
      </w:r>
      <w:r>
        <w:rPr>
          <w:rStyle w:val="Refdenotaderodap"/>
          <w:sz w:val="24"/>
          <w:szCs w:val="24"/>
          <w:lang w:val="en-US"/>
        </w:rPr>
        <w:footnoteReference w:id="228"/>
      </w:r>
      <w:r>
        <w:rPr>
          <w:sz w:val="24"/>
          <w:szCs w:val="24"/>
          <w:lang w:val="en-US"/>
        </w:rPr>
        <w:t xml:space="preserve"> </w:t>
      </w:r>
    </w:p>
    <w:p w:rsidR="00A5563B" w:rsidRDefault="00470E3F" w:rsidP="000A595F">
      <w:pPr>
        <w:ind w:firstLine="708"/>
        <w:jc w:val="both"/>
        <w:rPr>
          <w:sz w:val="24"/>
          <w:szCs w:val="24"/>
          <w:lang w:val="en-US"/>
        </w:rPr>
      </w:pPr>
      <w:r>
        <w:rPr>
          <w:sz w:val="24"/>
          <w:szCs w:val="24"/>
          <w:lang w:val="en-US"/>
        </w:rPr>
        <w:t xml:space="preserve">Although less apparent, one can also envision a plausible connection between the lack of lock-in and the decline of investor ownership. The </w:t>
      </w:r>
      <w:r w:rsidR="00C512F8">
        <w:rPr>
          <w:sz w:val="24"/>
          <w:szCs w:val="24"/>
          <w:lang w:val="en-US"/>
        </w:rPr>
        <w:t xml:space="preserve">absence of lock-in decreases the ability of private corporations to raise debt and commit to long-term projects, thus furthering the case for state ownership. </w:t>
      </w:r>
      <w:r w:rsidR="00946644">
        <w:rPr>
          <w:sz w:val="24"/>
          <w:szCs w:val="24"/>
          <w:lang w:val="en-US"/>
        </w:rPr>
        <w:t>Mixed enterprises, in particular,</w:t>
      </w:r>
      <w:r w:rsidR="00C512F8">
        <w:rPr>
          <w:sz w:val="24"/>
          <w:szCs w:val="24"/>
          <w:lang w:val="en-US"/>
        </w:rPr>
        <w:t xml:space="preserve"> enjoy a stronger version of lock-in, since the state may not </w:t>
      </w:r>
      <w:r w:rsidR="00DF55EB">
        <w:rPr>
          <w:sz w:val="24"/>
          <w:szCs w:val="24"/>
          <w:lang w:val="en-US"/>
        </w:rPr>
        <w:t xml:space="preserve">liquidate the firm </w:t>
      </w:r>
      <w:r w:rsidR="00946644">
        <w:rPr>
          <w:sz w:val="24"/>
          <w:szCs w:val="24"/>
          <w:lang w:val="en-US"/>
        </w:rPr>
        <w:t>or sell a substantial part of it</w:t>
      </w:r>
      <w:r w:rsidR="00DF55EB">
        <w:rPr>
          <w:sz w:val="24"/>
          <w:szCs w:val="24"/>
          <w:lang w:val="en-US"/>
        </w:rPr>
        <w:t>s assets</w:t>
      </w:r>
      <w:r w:rsidR="00946644">
        <w:rPr>
          <w:sz w:val="24"/>
          <w:szCs w:val="24"/>
          <w:lang w:val="en-US"/>
        </w:rPr>
        <w:t xml:space="preserve"> in the absence of special legislative authorization</w:t>
      </w:r>
      <w:r w:rsidR="00221A2A">
        <w:rPr>
          <w:sz w:val="24"/>
          <w:szCs w:val="24"/>
          <w:lang w:val="en-US"/>
        </w:rPr>
        <w:t>.</w:t>
      </w:r>
      <w:r w:rsidR="00946644">
        <w:rPr>
          <w:sz w:val="24"/>
          <w:szCs w:val="24"/>
          <w:lang w:val="en-US"/>
        </w:rPr>
        <w:t xml:space="preserve"> </w:t>
      </w:r>
      <w:r w:rsidR="00A5563B">
        <w:rPr>
          <w:sz w:val="24"/>
          <w:szCs w:val="24"/>
          <w:lang w:val="en-US"/>
        </w:rPr>
        <w:t xml:space="preserve">Finally, lock-in is the </w:t>
      </w:r>
      <w:proofErr w:type="gramStart"/>
      <w:r w:rsidR="00A5563B">
        <w:rPr>
          <w:sz w:val="24"/>
          <w:szCs w:val="24"/>
          <w:lang w:val="en-US"/>
        </w:rPr>
        <w:t>flip</w:t>
      </w:r>
      <w:proofErr w:type="gramEnd"/>
      <w:r w:rsidR="00A5563B">
        <w:rPr>
          <w:sz w:val="24"/>
          <w:szCs w:val="24"/>
          <w:lang w:val="en-US"/>
        </w:rPr>
        <w:t xml:space="preserve"> side of transferable shares: it is precisely because corporate shares are transferable that shareholders are denied the exit option in the form of withdrawals of capital. </w:t>
      </w:r>
      <w:r w:rsidR="000A595F">
        <w:rPr>
          <w:sz w:val="24"/>
          <w:szCs w:val="24"/>
          <w:lang w:val="en-US"/>
        </w:rPr>
        <w:t>To the extent that Brazilian corporate law and market structure hinder transferability, there is</w:t>
      </w:r>
      <w:r w:rsidR="004410E1">
        <w:rPr>
          <w:sz w:val="24"/>
          <w:szCs w:val="24"/>
          <w:lang w:val="en-US"/>
        </w:rPr>
        <w:t xml:space="preserve"> a</w:t>
      </w:r>
      <w:r w:rsidR="005E6B15">
        <w:rPr>
          <w:sz w:val="24"/>
          <w:szCs w:val="24"/>
          <w:lang w:val="en-US"/>
        </w:rPr>
        <w:t>lso a</w:t>
      </w:r>
      <w:r w:rsidR="004410E1">
        <w:rPr>
          <w:sz w:val="24"/>
          <w:szCs w:val="24"/>
          <w:lang w:val="en-US"/>
        </w:rPr>
        <w:t xml:space="preserve"> relatively </w:t>
      </w:r>
      <w:r w:rsidR="005E6B15">
        <w:rPr>
          <w:sz w:val="24"/>
          <w:szCs w:val="24"/>
          <w:lang w:val="en-US"/>
        </w:rPr>
        <w:t>stronger case for abolishing lock-in and permitting withdrawals at will</w:t>
      </w:r>
      <w:r w:rsidR="000A595F">
        <w:rPr>
          <w:sz w:val="24"/>
          <w:szCs w:val="24"/>
          <w:lang w:val="en-US"/>
        </w:rPr>
        <w:t xml:space="preserve">. </w:t>
      </w:r>
    </w:p>
    <w:p w:rsidR="00DD2727" w:rsidRPr="00E725E0" w:rsidRDefault="00E725E0" w:rsidP="00DD2727">
      <w:pPr>
        <w:ind w:firstLine="708"/>
        <w:jc w:val="both"/>
        <w:rPr>
          <w:i/>
          <w:sz w:val="24"/>
          <w:szCs w:val="24"/>
          <w:lang w:val="en-US"/>
        </w:rPr>
      </w:pPr>
      <w:r>
        <w:rPr>
          <w:sz w:val="24"/>
          <w:szCs w:val="24"/>
          <w:lang w:val="en-US"/>
        </w:rPr>
        <w:t>3.</w:t>
      </w:r>
      <w:r w:rsidR="00DD2727" w:rsidRPr="00DD2727">
        <w:rPr>
          <w:sz w:val="24"/>
          <w:szCs w:val="24"/>
          <w:lang w:val="en-US"/>
        </w:rPr>
        <w:tab/>
      </w:r>
      <w:r w:rsidR="00DD2727" w:rsidRPr="00E725E0">
        <w:rPr>
          <w:i/>
          <w:sz w:val="24"/>
          <w:szCs w:val="24"/>
          <w:lang w:val="en-US"/>
        </w:rPr>
        <w:t>Delegated management</w:t>
      </w:r>
    </w:p>
    <w:p w:rsidR="00DD2727" w:rsidRPr="00DD2727" w:rsidRDefault="00DD2727" w:rsidP="00DD2727">
      <w:pPr>
        <w:ind w:firstLine="708"/>
        <w:jc w:val="both"/>
        <w:rPr>
          <w:sz w:val="24"/>
          <w:szCs w:val="24"/>
          <w:lang w:val="en-US"/>
        </w:rPr>
      </w:pPr>
      <w:r w:rsidRPr="00DD2727">
        <w:rPr>
          <w:sz w:val="24"/>
          <w:szCs w:val="24"/>
          <w:lang w:val="en-US"/>
        </w:rPr>
        <w:t>The optimal degree of managerial delegation</w:t>
      </w:r>
      <w:r w:rsidR="00F47F1F">
        <w:rPr>
          <w:sz w:val="24"/>
          <w:szCs w:val="24"/>
          <w:lang w:val="en-US"/>
        </w:rPr>
        <w:t xml:space="preserve"> and shareholder </w:t>
      </w:r>
      <w:r w:rsidR="00CC2AC3">
        <w:rPr>
          <w:sz w:val="24"/>
          <w:szCs w:val="24"/>
          <w:lang w:val="en-US"/>
        </w:rPr>
        <w:t xml:space="preserve">empowerment </w:t>
      </w:r>
      <w:r w:rsidRPr="00DD2727">
        <w:rPr>
          <w:sz w:val="24"/>
          <w:szCs w:val="24"/>
          <w:lang w:val="en-US"/>
        </w:rPr>
        <w:t xml:space="preserve">is </w:t>
      </w:r>
      <w:r w:rsidR="00F47F1F">
        <w:rPr>
          <w:sz w:val="24"/>
          <w:szCs w:val="24"/>
          <w:lang w:val="en-US"/>
        </w:rPr>
        <w:t>a central, and largely unresolved, question in contemporary corporate governance</w:t>
      </w:r>
      <w:r w:rsidRPr="00DD2727">
        <w:rPr>
          <w:sz w:val="24"/>
          <w:szCs w:val="24"/>
          <w:lang w:val="en-US"/>
        </w:rPr>
        <w:t>.</w:t>
      </w:r>
      <w:r w:rsidR="00FA3194">
        <w:rPr>
          <w:rStyle w:val="Refdenotaderodap"/>
          <w:sz w:val="24"/>
          <w:szCs w:val="24"/>
          <w:lang w:val="en-US"/>
        </w:rPr>
        <w:footnoteReference w:id="229"/>
      </w:r>
      <w:r w:rsidRPr="00DD2727">
        <w:rPr>
          <w:sz w:val="24"/>
          <w:szCs w:val="24"/>
          <w:lang w:val="en-US"/>
        </w:rPr>
        <w:t xml:space="preserve"> </w:t>
      </w:r>
      <w:r w:rsidR="00F47F1F">
        <w:rPr>
          <w:sz w:val="24"/>
          <w:szCs w:val="24"/>
          <w:lang w:val="en-US"/>
        </w:rPr>
        <w:t>For our purposes</w:t>
      </w:r>
      <w:proofErr w:type="gramStart"/>
      <w:r w:rsidRPr="00DD2727">
        <w:rPr>
          <w:sz w:val="24"/>
          <w:szCs w:val="24"/>
          <w:lang w:val="en-US"/>
        </w:rPr>
        <w:t>, suffice it to say that</w:t>
      </w:r>
      <w:proofErr w:type="gramEnd"/>
      <w:r w:rsidRPr="00DD2727">
        <w:rPr>
          <w:sz w:val="24"/>
          <w:szCs w:val="24"/>
          <w:lang w:val="en-US"/>
        </w:rPr>
        <w:t xml:space="preserve"> some scholars have argued that there is room for far greater shareholder power than U.S. law has </w:t>
      </w:r>
      <w:r w:rsidR="00EE34AF">
        <w:rPr>
          <w:sz w:val="24"/>
          <w:szCs w:val="24"/>
          <w:lang w:val="en-US"/>
        </w:rPr>
        <w:t xml:space="preserve">traditionally </w:t>
      </w:r>
      <w:r w:rsidRPr="00DD2727">
        <w:rPr>
          <w:sz w:val="24"/>
          <w:szCs w:val="24"/>
          <w:lang w:val="en-US"/>
        </w:rPr>
        <w:t xml:space="preserve">allowed. Lucian </w:t>
      </w:r>
      <w:proofErr w:type="spellStart"/>
      <w:r w:rsidRPr="00DD2727">
        <w:rPr>
          <w:sz w:val="24"/>
          <w:szCs w:val="24"/>
          <w:lang w:val="en-US"/>
        </w:rPr>
        <w:t>Bebchuk</w:t>
      </w:r>
      <w:proofErr w:type="spellEnd"/>
      <w:r w:rsidRPr="00DD2727">
        <w:rPr>
          <w:sz w:val="24"/>
          <w:szCs w:val="24"/>
          <w:lang w:val="en-US"/>
        </w:rPr>
        <w:t xml:space="preserve">, </w:t>
      </w:r>
      <w:r w:rsidR="005522BE">
        <w:rPr>
          <w:sz w:val="24"/>
          <w:szCs w:val="24"/>
          <w:lang w:val="en-US"/>
        </w:rPr>
        <w:t xml:space="preserve">the most </w:t>
      </w:r>
      <w:r w:rsidR="00F47F1F">
        <w:rPr>
          <w:sz w:val="24"/>
          <w:szCs w:val="24"/>
          <w:lang w:val="en-US"/>
        </w:rPr>
        <w:t>vocal supporter</w:t>
      </w:r>
      <w:r w:rsidRPr="00DD2727">
        <w:rPr>
          <w:sz w:val="24"/>
          <w:szCs w:val="24"/>
          <w:lang w:val="en-US"/>
        </w:rPr>
        <w:t xml:space="preserve"> of shareholder empowerment, has argued that, at the very least, it should be up to shareholders to decide the rules of the game</w:t>
      </w:r>
      <w:r w:rsidR="00AC1408">
        <w:rPr>
          <w:sz w:val="24"/>
          <w:szCs w:val="24"/>
          <w:lang w:val="en-US"/>
        </w:rPr>
        <w:t xml:space="preserve"> by controlling the process of charter amendments.</w:t>
      </w:r>
      <w:r w:rsidR="00F47F1F">
        <w:rPr>
          <w:rStyle w:val="Refdenotaderodap"/>
          <w:sz w:val="24"/>
          <w:szCs w:val="24"/>
          <w:lang w:val="en-US"/>
        </w:rPr>
        <w:footnoteReference w:id="230"/>
      </w:r>
      <w:r w:rsidRPr="00DD2727">
        <w:rPr>
          <w:sz w:val="24"/>
          <w:szCs w:val="24"/>
          <w:lang w:val="en-US"/>
        </w:rPr>
        <w:t xml:space="preserve"> </w:t>
      </w:r>
      <w:r w:rsidR="00481C47">
        <w:rPr>
          <w:sz w:val="24"/>
          <w:szCs w:val="24"/>
          <w:lang w:val="en-US"/>
        </w:rPr>
        <w:t xml:space="preserve">Yet </w:t>
      </w:r>
      <w:r w:rsidRPr="00DD2727">
        <w:rPr>
          <w:sz w:val="24"/>
          <w:szCs w:val="24"/>
          <w:lang w:val="en-US"/>
        </w:rPr>
        <w:t xml:space="preserve">Brazilian law goes far beyond the </w:t>
      </w:r>
      <w:proofErr w:type="spellStart"/>
      <w:r w:rsidRPr="00DD2727">
        <w:rPr>
          <w:sz w:val="24"/>
          <w:szCs w:val="24"/>
          <w:lang w:val="en-US"/>
        </w:rPr>
        <w:t>Bebchuk</w:t>
      </w:r>
      <w:proofErr w:type="spellEnd"/>
      <w:r w:rsidRPr="00DD2727">
        <w:rPr>
          <w:sz w:val="24"/>
          <w:szCs w:val="24"/>
          <w:lang w:val="en-US"/>
        </w:rPr>
        <w:t xml:space="preserve"> dream</w:t>
      </w:r>
      <w:r w:rsidR="00481C47">
        <w:rPr>
          <w:sz w:val="24"/>
          <w:szCs w:val="24"/>
          <w:lang w:val="en-US"/>
        </w:rPr>
        <w:t xml:space="preserve">, since the mandatory nature of most corporate law rules makes it </w:t>
      </w:r>
      <w:r w:rsidR="004E7126">
        <w:rPr>
          <w:sz w:val="24"/>
          <w:szCs w:val="24"/>
          <w:lang w:val="en-US"/>
        </w:rPr>
        <w:t>difficult</w:t>
      </w:r>
      <w:r w:rsidR="00CA4FFB">
        <w:rPr>
          <w:sz w:val="24"/>
          <w:szCs w:val="24"/>
          <w:lang w:val="en-US"/>
        </w:rPr>
        <w:t xml:space="preserve"> for charter amendments to </w:t>
      </w:r>
      <w:r w:rsidRPr="00DD2727">
        <w:rPr>
          <w:sz w:val="24"/>
          <w:szCs w:val="24"/>
          <w:lang w:val="en-US"/>
        </w:rPr>
        <w:t>abridge the powers of the shareholder majority</w:t>
      </w:r>
      <w:r w:rsidR="004E7126">
        <w:rPr>
          <w:sz w:val="24"/>
          <w:szCs w:val="24"/>
          <w:lang w:val="en-US"/>
        </w:rPr>
        <w:t xml:space="preserve"> in public companies</w:t>
      </w:r>
      <w:r w:rsidRPr="00DD2727">
        <w:rPr>
          <w:sz w:val="24"/>
          <w:szCs w:val="24"/>
          <w:lang w:val="en-US"/>
        </w:rPr>
        <w:t>.</w:t>
      </w:r>
      <w:r w:rsidR="004E7126">
        <w:rPr>
          <w:rStyle w:val="Refdenotaderodap"/>
          <w:sz w:val="24"/>
          <w:szCs w:val="24"/>
          <w:lang w:val="en-US"/>
        </w:rPr>
        <w:footnoteReference w:id="231"/>
      </w:r>
      <w:r w:rsidRPr="00DD2727">
        <w:rPr>
          <w:sz w:val="24"/>
          <w:szCs w:val="24"/>
          <w:lang w:val="en-US"/>
        </w:rPr>
        <w:t xml:space="preserve"> In contrast to the Brazilian law approach to limited liability and lock-in, </w:t>
      </w:r>
      <w:r w:rsidR="00E23E4C">
        <w:rPr>
          <w:sz w:val="24"/>
          <w:szCs w:val="24"/>
          <w:lang w:val="en-US"/>
        </w:rPr>
        <w:t>we do not see a general</w:t>
      </w:r>
      <w:r w:rsidRPr="00DD2727">
        <w:rPr>
          <w:sz w:val="24"/>
          <w:szCs w:val="24"/>
          <w:lang w:val="en-US"/>
        </w:rPr>
        <w:t xml:space="preserve"> argument that such a </w:t>
      </w:r>
      <w:r w:rsidR="001E1596">
        <w:rPr>
          <w:sz w:val="24"/>
          <w:szCs w:val="24"/>
          <w:lang w:val="en-US"/>
        </w:rPr>
        <w:t xml:space="preserve">toned down </w:t>
      </w:r>
      <w:r w:rsidRPr="00DD2727">
        <w:rPr>
          <w:sz w:val="24"/>
          <w:szCs w:val="24"/>
          <w:lang w:val="en-US"/>
        </w:rPr>
        <w:t xml:space="preserve">form of managerial delegation is efficient. </w:t>
      </w:r>
    </w:p>
    <w:p w:rsidR="00DD2727" w:rsidRPr="00DD2727" w:rsidRDefault="00A92093" w:rsidP="00DD2727">
      <w:pPr>
        <w:ind w:firstLine="708"/>
        <w:jc w:val="both"/>
        <w:rPr>
          <w:sz w:val="24"/>
          <w:szCs w:val="24"/>
          <w:lang w:val="en-US"/>
        </w:rPr>
      </w:pPr>
      <w:r>
        <w:rPr>
          <w:sz w:val="24"/>
          <w:szCs w:val="24"/>
          <w:lang w:val="en-US"/>
        </w:rPr>
        <w:t>S</w:t>
      </w:r>
      <w:r w:rsidR="00DD2727" w:rsidRPr="00DD2727">
        <w:rPr>
          <w:sz w:val="24"/>
          <w:szCs w:val="24"/>
          <w:lang w:val="en-US"/>
        </w:rPr>
        <w:t xml:space="preserve">uch a weak version of delegated management </w:t>
      </w:r>
      <w:r w:rsidR="00D96475">
        <w:rPr>
          <w:sz w:val="24"/>
          <w:szCs w:val="24"/>
          <w:lang w:val="en-US"/>
        </w:rPr>
        <w:t>may be a plausible</w:t>
      </w:r>
      <w:r w:rsidR="00772E8F">
        <w:rPr>
          <w:sz w:val="24"/>
          <w:szCs w:val="24"/>
          <w:lang w:val="en-US"/>
        </w:rPr>
        <w:t xml:space="preserve"> response to the weak</w:t>
      </w:r>
      <w:r w:rsidR="003C0BC1">
        <w:rPr>
          <w:sz w:val="24"/>
          <w:szCs w:val="24"/>
          <w:lang w:val="en-US"/>
        </w:rPr>
        <w:t xml:space="preserve"> </w:t>
      </w:r>
      <w:r w:rsidR="00DD2727" w:rsidRPr="00DD2727">
        <w:rPr>
          <w:sz w:val="24"/>
          <w:szCs w:val="24"/>
          <w:lang w:val="en-US"/>
        </w:rPr>
        <w:t xml:space="preserve">institutional environment. </w:t>
      </w:r>
      <w:r w:rsidR="00D96475">
        <w:rPr>
          <w:sz w:val="24"/>
          <w:szCs w:val="24"/>
          <w:lang w:val="en-US"/>
        </w:rPr>
        <w:t>A</w:t>
      </w:r>
      <w:r w:rsidR="00DD2727" w:rsidRPr="00DD2727">
        <w:rPr>
          <w:sz w:val="24"/>
          <w:szCs w:val="24"/>
          <w:lang w:val="en-US"/>
        </w:rPr>
        <w:t xml:space="preserve"> system that so poorly protects minority shareholders would </w:t>
      </w:r>
      <w:r w:rsidR="00D96475">
        <w:rPr>
          <w:sz w:val="24"/>
          <w:szCs w:val="24"/>
          <w:lang w:val="en-US"/>
        </w:rPr>
        <w:t>likely</w:t>
      </w:r>
      <w:r w:rsidR="00DD2727" w:rsidRPr="00C25C55">
        <w:rPr>
          <w:sz w:val="24"/>
          <w:szCs w:val="24"/>
          <w:lang w:val="en-US"/>
        </w:rPr>
        <w:t xml:space="preserve"> permit high managerial agency costs. Such a strong level of shareholder </w:t>
      </w:r>
      <w:r w:rsidR="002843FF" w:rsidRPr="00C25C55">
        <w:rPr>
          <w:sz w:val="24"/>
          <w:szCs w:val="24"/>
          <w:lang w:val="en-US"/>
        </w:rPr>
        <w:t xml:space="preserve">involvement in </w:t>
      </w:r>
      <w:r w:rsidR="00DD2727" w:rsidRPr="00C25C55">
        <w:rPr>
          <w:sz w:val="24"/>
          <w:szCs w:val="24"/>
          <w:lang w:val="en-US"/>
        </w:rPr>
        <w:t xml:space="preserve">management, then, could be a response to these costs. </w:t>
      </w:r>
      <w:r w:rsidR="008020FF">
        <w:rPr>
          <w:sz w:val="24"/>
          <w:szCs w:val="24"/>
          <w:lang w:val="en-US"/>
        </w:rPr>
        <w:lastRenderedPageBreak/>
        <w:t>However</w:t>
      </w:r>
      <w:r w:rsidR="00816E7D" w:rsidRPr="00C25C55">
        <w:rPr>
          <w:sz w:val="24"/>
          <w:szCs w:val="24"/>
          <w:lang w:val="en-US"/>
        </w:rPr>
        <w:t>, causation may run in the opposite direction, with the lack of delegated management facilitating the extraction of extraordinary private benefits of control</w:t>
      </w:r>
      <w:r w:rsidR="00DD2727" w:rsidRPr="00C25C55">
        <w:rPr>
          <w:sz w:val="24"/>
          <w:szCs w:val="24"/>
          <w:lang w:val="en-US"/>
        </w:rPr>
        <w:t xml:space="preserve">. </w:t>
      </w:r>
      <w:r w:rsidR="00C25C55" w:rsidRPr="00C25C55">
        <w:rPr>
          <w:sz w:val="24"/>
          <w:szCs w:val="24"/>
          <w:lang w:val="en-US"/>
        </w:rPr>
        <w:t>In other words</w:t>
      </w:r>
      <w:r w:rsidR="00DD2727" w:rsidRPr="00C25C55">
        <w:rPr>
          <w:sz w:val="24"/>
          <w:szCs w:val="24"/>
          <w:lang w:val="en-US"/>
        </w:rPr>
        <w:t>, it</w:t>
      </w:r>
      <w:r w:rsidR="00C25C55" w:rsidRPr="00C25C55">
        <w:rPr>
          <w:sz w:val="24"/>
          <w:szCs w:val="24"/>
          <w:lang w:val="en-US"/>
        </w:rPr>
        <w:t xml:space="preserve"> may be</w:t>
      </w:r>
      <w:r w:rsidR="00DD2727" w:rsidRPr="00C25C55">
        <w:rPr>
          <w:sz w:val="24"/>
          <w:szCs w:val="24"/>
          <w:lang w:val="en-US"/>
        </w:rPr>
        <w:t xml:space="preserve"> precisely because controlling shareholders do not face any countervailing checks within the firm that they are able to exploit minority investors with such ease. </w:t>
      </w:r>
    </w:p>
    <w:p w:rsidR="00DD2727" w:rsidRPr="00DD2727" w:rsidRDefault="00C25C55" w:rsidP="00DD2727">
      <w:pPr>
        <w:ind w:firstLine="708"/>
        <w:jc w:val="both"/>
        <w:rPr>
          <w:sz w:val="24"/>
          <w:szCs w:val="24"/>
          <w:lang w:val="en-US"/>
        </w:rPr>
      </w:pPr>
      <w:r>
        <w:rPr>
          <w:sz w:val="24"/>
          <w:szCs w:val="24"/>
          <w:lang w:val="en-US"/>
        </w:rPr>
        <w:t>Another view is that</w:t>
      </w:r>
      <w:r w:rsidR="00DD2727" w:rsidRPr="00DD2727">
        <w:rPr>
          <w:sz w:val="24"/>
          <w:szCs w:val="24"/>
          <w:lang w:val="en-US"/>
        </w:rPr>
        <w:t xml:space="preserve"> weak managerial delegation is a second-best response to the dwindling of other corporate attributes. </w:t>
      </w:r>
      <w:r>
        <w:rPr>
          <w:sz w:val="24"/>
          <w:szCs w:val="24"/>
          <w:lang w:val="en-US"/>
        </w:rPr>
        <w:t>T</w:t>
      </w:r>
      <w:r w:rsidR="00DD2727" w:rsidRPr="00DD2727">
        <w:rPr>
          <w:sz w:val="24"/>
          <w:szCs w:val="24"/>
          <w:lang w:val="en-US"/>
        </w:rPr>
        <w:t xml:space="preserve">he erosion of shareholder limited liability encourages shareholders to eschew diversification and instead take an active part in company management. Conversely, given that controlling shareholders take an active part in management, the </w:t>
      </w:r>
      <w:r>
        <w:rPr>
          <w:sz w:val="24"/>
          <w:szCs w:val="24"/>
          <w:lang w:val="en-US"/>
        </w:rPr>
        <w:t xml:space="preserve">case </w:t>
      </w:r>
      <w:r w:rsidR="00DD2727" w:rsidRPr="00DD2727">
        <w:rPr>
          <w:sz w:val="24"/>
          <w:szCs w:val="24"/>
          <w:lang w:val="en-US"/>
        </w:rPr>
        <w:t xml:space="preserve">for limited liability is correspondingly weaker. </w:t>
      </w:r>
    </w:p>
    <w:p w:rsidR="00DD2727" w:rsidRPr="00DD2727" w:rsidRDefault="00DD2727" w:rsidP="00133785">
      <w:pPr>
        <w:ind w:firstLine="708"/>
        <w:jc w:val="both"/>
        <w:rPr>
          <w:sz w:val="24"/>
          <w:szCs w:val="24"/>
          <w:lang w:val="en-US"/>
        </w:rPr>
      </w:pPr>
      <w:r w:rsidRPr="00DD2727">
        <w:rPr>
          <w:sz w:val="24"/>
          <w:szCs w:val="24"/>
          <w:lang w:val="en-US"/>
        </w:rPr>
        <w:t xml:space="preserve">There are complementarities with other elements as well. </w:t>
      </w:r>
      <w:r w:rsidR="00C25C55">
        <w:rPr>
          <w:sz w:val="24"/>
          <w:szCs w:val="24"/>
          <w:lang w:val="en-US"/>
        </w:rPr>
        <w:t>As discussed above, t</w:t>
      </w:r>
      <w:r w:rsidRPr="00DD2727">
        <w:rPr>
          <w:sz w:val="24"/>
          <w:szCs w:val="24"/>
          <w:lang w:val="en-US"/>
        </w:rPr>
        <w:t>he protection afforded by lock-in to specific investments by various corporate constituencies presupposes the absence of shareholder control. Delegated management also goes hand</w:t>
      </w:r>
      <w:r w:rsidR="00117BAB">
        <w:rPr>
          <w:sz w:val="24"/>
          <w:szCs w:val="24"/>
          <w:lang w:val="en-US"/>
        </w:rPr>
        <w:t xml:space="preserve">-in-hand with transferability. </w:t>
      </w:r>
      <w:r w:rsidRPr="00DD2727">
        <w:rPr>
          <w:sz w:val="24"/>
          <w:szCs w:val="24"/>
          <w:lang w:val="en-US"/>
        </w:rPr>
        <w:t xml:space="preserve">The relationship between delegated management and state ownership is less clear. </w:t>
      </w:r>
      <w:r w:rsidR="00117BAB">
        <w:rPr>
          <w:sz w:val="24"/>
          <w:szCs w:val="24"/>
          <w:lang w:val="en-US"/>
        </w:rPr>
        <w:t xml:space="preserve">From a political economy perspective, the state’s interests as a shareholder have certainly played a role in the weak form of delegation that we </w:t>
      </w:r>
      <w:r w:rsidR="006A4B92">
        <w:rPr>
          <w:sz w:val="24"/>
          <w:szCs w:val="24"/>
          <w:lang w:val="en-US"/>
        </w:rPr>
        <w:t>observe</w:t>
      </w:r>
      <w:r w:rsidR="00117BAB">
        <w:rPr>
          <w:sz w:val="24"/>
          <w:szCs w:val="24"/>
          <w:lang w:val="en-US"/>
        </w:rPr>
        <w:t>.</w:t>
      </w:r>
      <w:r w:rsidR="003A2F03">
        <w:rPr>
          <w:sz w:val="24"/>
          <w:szCs w:val="24"/>
          <w:lang w:val="en-US"/>
        </w:rPr>
        <w:t xml:space="preserve"> However, the efficiency argument likely runs in the opposite direction</w:t>
      </w:r>
      <w:r w:rsidR="00536EA1">
        <w:rPr>
          <w:sz w:val="24"/>
          <w:szCs w:val="24"/>
          <w:lang w:val="en-US"/>
        </w:rPr>
        <w:t>, with influential guidelines on SOE governance advocating for strong and independent boards to improve corporate performance.</w:t>
      </w:r>
      <w:r w:rsidR="00133785">
        <w:rPr>
          <w:rStyle w:val="Refdenotaderodap"/>
          <w:sz w:val="24"/>
          <w:szCs w:val="24"/>
          <w:lang w:val="en-US"/>
        </w:rPr>
        <w:footnoteReference w:id="232"/>
      </w:r>
      <w:r w:rsidR="00133785">
        <w:rPr>
          <w:sz w:val="24"/>
          <w:szCs w:val="24"/>
          <w:lang w:val="en-US"/>
        </w:rPr>
        <w:t xml:space="preserve"> </w:t>
      </w:r>
    </w:p>
    <w:p w:rsidR="00DD2727" w:rsidRPr="00DD2727" w:rsidRDefault="00E725E0" w:rsidP="00DD2727">
      <w:pPr>
        <w:ind w:firstLine="708"/>
        <w:jc w:val="both"/>
        <w:rPr>
          <w:sz w:val="24"/>
          <w:szCs w:val="24"/>
          <w:lang w:val="en-US"/>
        </w:rPr>
      </w:pPr>
      <w:r>
        <w:rPr>
          <w:sz w:val="24"/>
          <w:szCs w:val="24"/>
          <w:lang w:val="en-US"/>
        </w:rPr>
        <w:t>4.</w:t>
      </w:r>
      <w:r>
        <w:rPr>
          <w:sz w:val="24"/>
          <w:szCs w:val="24"/>
          <w:lang w:val="en-US"/>
        </w:rPr>
        <w:tab/>
      </w:r>
      <w:r w:rsidR="00DD2727" w:rsidRPr="00E725E0">
        <w:rPr>
          <w:i/>
          <w:sz w:val="24"/>
          <w:szCs w:val="24"/>
          <w:lang w:val="en-US"/>
        </w:rPr>
        <w:t>Transferable shares</w:t>
      </w:r>
    </w:p>
    <w:p w:rsidR="00147E51" w:rsidRDefault="00CC2093" w:rsidP="001C7AF6">
      <w:pPr>
        <w:ind w:firstLine="708"/>
        <w:jc w:val="both"/>
        <w:rPr>
          <w:sz w:val="24"/>
          <w:szCs w:val="24"/>
          <w:lang w:val="en-US"/>
        </w:rPr>
      </w:pPr>
      <w:r>
        <w:rPr>
          <w:sz w:val="24"/>
          <w:szCs w:val="24"/>
          <w:lang w:val="en-US"/>
        </w:rPr>
        <w:t xml:space="preserve">Share transferability is the least controversial feature of the corporate form. </w:t>
      </w:r>
      <w:r w:rsidR="009C43D6">
        <w:rPr>
          <w:sz w:val="24"/>
          <w:szCs w:val="24"/>
          <w:lang w:val="en-US"/>
        </w:rPr>
        <w:t xml:space="preserve">Although transferability per se do not pose major costs, this attributes becomes contentious when it comes to control transfers. </w:t>
      </w:r>
      <w:r w:rsidR="00523C92">
        <w:rPr>
          <w:sz w:val="24"/>
          <w:szCs w:val="24"/>
          <w:lang w:val="en-US"/>
        </w:rPr>
        <w:t xml:space="preserve">In the international context, the main debate </w:t>
      </w:r>
      <w:r w:rsidR="009C43D6">
        <w:rPr>
          <w:sz w:val="24"/>
          <w:szCs w:val="24"/>
          <w:lang w:val="en-US"/>
        </w:rPr>
        <w:t>in this area</w:t>
      </w:r>
      <w:r w:rsidR="00523C92">
        <w:rPr>
          <w:sz w:val="24"/>
          <w:szCs w:val="24"/>
          <w:lang w:val="en-US"/>
        </w:rPr>
        <w:t xml:space="preserve"> relates to the board’s ability to thwart hostile takeover threats, as permitted </w:t>
      </w:r>
      <w:r w:rsidR="001C7AF6">
        <w:rPr>
          <w:sz w:val="24"/>
          <w:szCs w:val="24"/>
          <w:lang w:val="en-US"/>
        </w:rPr>
        <w:t>under</w:t>
      </w:r>
      <w:r w:rsidR="00523C92">
        <w:rPr>
          <w:sz w:val="24"/>
          <w:szCs w:val="24"/>
          <w:lang w:val="en-US"/>
        </w:rPr>
        <w:t xml:space="preserve"> Delaware law </w:t>
      </w:r>
      <w:proofErr w:type="gramStart"/>
      <w:r w:rsidR="00523C92">
        <w:rPr>
          <w:sz w:val="24"/>
          <w:szCs w:val="24"/>
          <w:lang w:val="en-US"/>
        </w:rPr>
        <w:t>through the use of</w:t>
      </w:r>
      <w:proofErr w:type="gramEnd"/>
      <w:r w:rsidR="00523C92">
        <w:rPr>
          <w:sz w:val="24"/>
          <w:szCs w:val="24"/>
          <w:lang w:val="en-US"/>
        </w:rPr>
        <w:t xml:space="preserve"> poison pills</w:t>
      </w:r>
      <w:r w:rsidR="00744624">
        <w:rPr>
          <w:sz w:val="24"/>
          <w:szCs w:val="24"/>
          <w:lang w:val="en-US"/>
        </w:rPr>
        <w:t xml:space="preserve">, or </w:t>
      </w:r>
      <w:r w:rsidR="009C43D6">
        <w:rPr>
          <w:sz w:val="24"/>
          <w:szCs w:val="24"/>
          <w:lang w:val="en-US"/>
        </w:rPr>
        <w:t>prohi</w:t>
      </w:r>
      <w:r w:rsidR="00AB5D9A">
        <w:rPr>
          <w:sz w:val="24"/>
          <w:szCs w:val="24"/>
          <w:lang w:val="en-US"/>
        </w:rPr>
        <w:t>bited under the non-frustration rule of EU law</w:t>
      </w:r>
      <w:r w:rsidR="00523C92">
        <w:rPr>
          <w:sz w:val="24"/>
          <w:szCs w:val="24"/>
          <w:lang w:val="en-US"/>
        </w:rPr>
        <w:t>.</w:t>
      </w:r>
      <w:r w:rsidR="00AB5D9A">
        <w:rPr>
          <w:rStyle w:val="Refdenotaderodap"/>
          <w:sz w:val="24"/>
          <w:szCs w:val="24"/>
          <w:lang w:val="en-US"/>
        </w:rPr>
        <w:footnoteReference w:id="233"/>
      </w:r>
      <w:r w:rsidR="00523C92">
        <w:rPr>
          <w:sz w:val="24"/>
          <w:szCs w:val="24"/>
          <w:lang w:val="en-US"/>
        </w:rPr>
        <w:t xml:space="preserve"> </w:t>
      </w:r>
      <w:r w:rsidR="00147E51">
        <w:rPr>
          <w:sz w:val="24"/>
          <w:szCs w:val="24"/>
          <w:lang w:val="en-US"/>
        </w:rPr>
        <w:t xml:space="preserve">This </w:t>
      </w:r>
      <w:r w:rsidR="00081202">
        <w:rPr>
          <w:sz w:val="24"/>
          <w:szCs w:val="24"/>
          <w:lang w:val="en-US"/>
        </w:rPr>
        <w:t>debate</w:t>
      </w:r>
      <w:r w:rsidR="00147E51">
        <w:rPr>
          <w:sz w:val="24"/>
          <w:szCs w:val="24"/>
          <w:lang w:val="en-US"/>
        </w:rPr>
        <w:t xml:space="preserve">, however, </w:t>
      </w:r>
      <w:r w:rsidR="009C43D6">
        <w:rPr>
          <w:sz w:val="24"/>
          <w:szCs w:val="24"/>
          <w:lang w:val="en-US"/>
        </w:rPr>
        <w:t xml:space="preserve">loses significance </w:t>
      </w:r>
      <w:r w:rsidR="00E840CD">
        <w:rPr>
          <w:sz w:val="24"/>
          <w:szCs w:val="24"/>
          <w:lang w:val="en-US"/>
        </w:rPr>
        <w:t xml:space="preserve">in the Brazilian context, since hostile takeovers </w:t>
      </w:r>
      <w:r w:rsidR="00656863">
        <w:rPr>
          <w:sz w:val="24"/>
          <w:szCs w:val="24"/>
          <w:lang w:val="en-US"/>
        </w:rPr>
        <w:t>are virtually non-existent due to</w:t>
      </w:r>
      <w:r w:rsidR="00E840CD">
        <w:rPr>
          <w:sz w:val="24"/>
          <w:szCs w:val="24"/>
          <w:lang w:val="en-US"/>
        </w:rPr>
        <w:t xml:space="preserve"> the prevalence of concentrated ownership.</w:t>
      </w:r>
      <w:r w:rsidR="00D72E9A">
        <w:rPr>
          <w:rStyle w:val="Refdenotaderodap"/>
          <w:sz w:val="24"/>
          <w:szCs w:val="24"/>
          <w:lang w:val="en-US"/>
        </w:rPr>
        <w:footnoteReference w:id="234"/>
      </w:r>
      <w:r w:rsidR="00E840CD">
        <w:rPr>
          <w:sz w:val="24"/>
          <w:szCs w:val="24"/>
          <w:lang w:val="en-US"/>
        </w:rPr>
        <w:t xml:space="preserve"> </w:t>
      </w:r>
      <w:r w:rsidR="001C7AF6">
        <w:rPr>
          <w:sz w:val="24"/>
          <w:szCs w:val="24"/>
          <w:lang w:val="en-US"/>
        </w:rPr>
        <w:t xml:space="preserve">Instead, the main </w:t>
      </w:r>
      <w:r w:rsidR="00553BB1">
        <w:rPr>
          <w:sz w:val="24"/>
          <w:szCs w:val="24"/>
          <w:lang w:val="en-US"/>
        </w:rPr>
        <w:t>normative debate i</w:t>
      </w:r>
      <w:r w:rsidR="00E840CD">
        <w:rPr>
          <w:sz w:val="24"/>
          <w:szCs w:val="24"/>
          <w:lang w:val="en-US"/>
        </w:rPr>
        <w:t xml:space="preserve">n this area concerns the scope and desirability of a mandatory bid rule. </w:t>
      </w:r>
    </w:p>
    <w:p w:rsidR="00CC2093" w:rsidRDefault="00EE716D" w:rsidP="00A3266E">
      <w:pPr>
        <w:ind w:firstLine="708"/>
        <w:jc w:val="both"/>
        <w:rPr>
          <w:sz w:val="24"/>
          <w:szCs w:val="24"/>
          <w:lang w:val="en-US"/>
        </w:rPr>
      </w:pPr>
      <w:r>
        <w:rPr>
          <w:sz w:val="24"/>
          <w:szCs w:val="24"/>
          <w:lang w:val="en-US"/>
        </w:rPr>
        <w:t>While law-and-economics scholars have questioned the efficiency of the mandatory bid rule,</w:t>
      </w:r>
      <w:r w:rsidR="00D90525">
        <w:rPr>
          <w:rStyle w:val="Refdenotaderodap"/>
          <w:sz w:val="24"/>
          <w:szCs w:val="24"/>
          <w:lang w:val="en-US"/>
        </w:rPr>
        <w:footnoteReference w:id="235"/>
      </w:r>
      <w:r>
        <w:rPr>
          <w:sz w:val="24"/>
          <w:szCs w:val="24"/>
          <w:lang w:val="en-US"/>
        </w:rPr>
        <w:t xml:space="preserve"> investors in Brazil generally favor this mechanism</w:t>
      </w:r>
      <w:r w:rsidR="00836AE8">
        <w:rPr>
          <w:sz w:val="24"/>
          <w:szCs w:val="24"/>
          <w:lang w:val="en-US"/>
        </w:rPr>
        <w:t xml:space="preserve">, as reflected in its adoption by </w:t>
      </w:r>
      <w:r w:rsidR="00770E5D">
        <w:rPr>
          <w:sz w:val="24"/>
          <w:szCs w:val="24"/>
          <w:lang w:val="en-US"/>
        </w:rPr>
        <w:t>the stock exchange’s most rigorous listing standards</w:t>
      </w:r>
      <w:r>
        <w:rPr>
          <w:sz w:val="24"/>
          <w:szCs w:val="24"/>
          <w:lang w:val="en-US"/>
        </w:rPr>
        <w:t>.</w:t>
      </w:r>
      <w:r w:rsidR="00D90525">
        <w:rPr>
          <w:rStyle w:val="Refdenotaderodap"/>
          <w:sz w:val="24"/>
          <w:szCs w:val="24"/>
          <w:lang w:val="en-US"/>
        </w:rPr>
        <w:footnoteReference w:id="236"/>
      </w:r>
      <w:r>
        <w:rPr>
          <w:sz w:val="24"/>
          <w:szCs w:val="24"/>
          <w:lang w:val="en-US"/>
        </w:rPr>
        <w:t xml:space="preserve"> </w:t>
      </w:r>
      <w:r w:rsidR="00A906E2">
        <w:rPr>
          <w:sz w:val="24"/>
          <w:szCs w:val="24"/>
          <w:lang w:val="en-US"/>
        </w:rPr>
        <w:t xml:space="preserve">This suggests that </w:t>
      </w:r>
      <w:r w:rsidR="00D90525">
        <w:rPr>
          <w:sz w:val="24"/>
          <w:szCs w:val="24"/>
          <w:lang w:val="en-US"/>
        </w:rPr>
        <w:t>the desirability of this rule may depend on the underlying context</w:t>
      </w:r>
      <w:r w:rsidR="00A906E2">
        <w:rPr>
          <w:sz w:val="24"/>
          <w:szCs w:val="24"/>
          <w:lang w:val="en-US"/>
        </w:rPr>
        <w:t xml:space="preserve">. </w:t>
      </w:r>
      <w:r w:rsidR="00F17B4B">
        <w:rPr>
          <w:sz w:val="24"/>
          <w:szCs w:val="24"/>
          <w:lang w:val="en-US"/>
        </w:rPr>
        <w:t>I</w:t>
      </w:r>
      <w:r w:rsidR="00E406BF">
        <w:rPr>
          <w:sz w:val="24"/>
          <w:szCs w:val="24"/>
          <w:lang w:val="en-US"/>
        </w:rPr>
        <w:t xml:space="preserve">n the absence of formal legal protection of minority shareholders, a mandatory bid rule protects </w:t>
      </w:r>
      <w:r w:rsidR="00E406BF">
        <w:rPr>
          <w:sz w:val="24"/>
          <w:szCs w:val="24"/>
          <w:lang w:val="en-US"/>
        </w:rPr>
        <w:lastRenderedPageBreak/>
        <w:t>outside investors’ reliance on the reputation of</w:t>
      </w:r>
      <w:r w:rsidR="008827B6">
        <w:rPr>
          <w:sz w:val="24"/>
          <w:szCs w:val="24"/>
          <w:lang w:val="en-US"/>
        </w:rPr>
        <w:t xml:space="preserve"> the original</w:t>
      </w:r>
      <w:r w:rsidR="00E406BF">
        <w:rPr>
          <w:sz w:val="24"/>
          <w:szCs w:val="24"/>
          <w:lang w:val="en-US"/>
        </w:rPr>
        <w:t xml:space="preserve"> controlling shareholders.</w:t>
      </w:r>
      <w:r w:rsidR="00D96475">
        <w:rPr>
          <w:rStyle w:val="Refdenotaderodap"/>
          <w:sz w:val="24"/>
          <w:szCs w:val="24"/>
          <w:lang w:val="en-US"/>
        </w:rPr>
        <w:footnoteReference w:id="237"/>
      </w:r>
      <w:r w:rsidR="00E406BF">
        <w:rPr>
          <w:sz w:val="24"/>
          <w:szCs w:val="24"/>
          <w:lang w:val="en-US"/>
        </w:rPr>
        <w:t xml:space="preserve"> </w:t>
      </w:r>
      <w:r w:rsidR="00F726D7">
        <w:rPr>
          <w:sz w:val="24"/>
          <w:szCs w:val="24"/>
          <w:lang w:val="en-US"/>
        </w:rPr>
        <w:t>The rule</w:t>
      </w:r>
      <w:r w:rsidR="00F17B4B">
        <w:rPr>
          <w:sz w:val="24"/>
          <w:szCs w:val="24"/>
          <w:lang w:val="en-US"/>
        </w:rPr>
        <w:t xml:space="preserve"> also ensures</w:t>
      </w:r>
      <w:r w:rsidR="00D835CC">
        <w:rPr>
          <w:sz w:val="24"/>
          <w:szCs w:val="24"/>
          <w:lang w:val="en-US"/>
        </w:rPr>
        <w:t xml:space="preserve"> a fair exit option to shareholders in a system that offers insufficient protection against going-private transactions.</w:t>
      </w:r>
      <w:r w:rsidR="00A3266E">
        <w:rPr>
          <w:rStyle w:val="Refdenotaderodap"/>
          <w:sz w:val="24"/>
          <w:szCs w:val="24"/>
          <w:lang w:val="en-US"/>
        </w:rPr>
        <w:footnoteReference w:id="238"/>
      </w:r>
      <w:r w:rsidR="00D835CC">
        <w:rPr>
          <w:sz w:val="24"/>
          <w:szCs w:val="24"/>
          <w:lang w:val="en-US"/>
        </w:rPr>
        <w:t xml:space="preserve"> </w:t>
      </w:r>
    </w:p>
    <w:p w:rsidR="00727B66" w:rsidRPr="00DD2727" w:rsidRDefault="001C1213" w:rsidP="00A3266E">
      <w:pPr>
        <w:ind w:firstLine="708"/>
        <w:jc w:val="both"/>
        <w:rPr>
          <w:sz w:val="24"/>
          <w:szCs w:val="24"/>
          <w:lang w:val="en-US"/>
        </w:rPr>
      </w:pPr>
      <w:r>
        <w:rPr>
          <w:sz w:val="24"/>
          <w:szCs w:val="24"/>
          <w:lang w:val="en-US"/>
        </w:rPr>
        <w:t xml:space="preserve">Finally, recall that important </w:t>
      </w:r>
      <w:r w:rsidR="00727B66">
        <w:rPr>
          <w:sz w:val="24"/>
          <w:szCs w:val="24"/>
          <w:lang w:val="en-US"/>
        </w:rPr>
        <w:t xml:space="preserve">obstacles to transferability in Brazil come from the disincentives to share transfers posed by limited liability. </w:t>
      </w:r>
      <w:r w:rsidR="001A7B09">
        <w:rPr>
          <w:sz w:val="24"/>
          <w:szCs w:val="24"/>
          <w:lang w:val="en-US"/>
        </w:rPr>
        <w:t xml:space="preserve">The particular choice of a timing rule for the apportionment of shareholder liability </w:t>
      </w:r>
      <w:r>
        <w:rPr>
          <w:sz w:val="24"/>
          <w:szCs w:val="24"/>
          <w:lang w:val="en-US"/>
        </w:rPr>
        <w:t>is particularly</w:t>
      </w:r>
      <w:r w:rsidR="001A7B09">
        <w:rPr>
          <w:sz w:val="24"/>
          <w:szCs w:val="24"/>
          <w:lang w:val="en-US"/>
        </w:rPr>
        <w:t xml:space="preserve"> relevant here.  </w:t>
      </w:r>
      <w:r w:rsidR="00CB6C63">
        <w:rPr>
          <w:sz w:val="24"/>
          <w:szCs w:val="24"/>
          <w:lang w:val="en-US"/>
        </w:rPr>
        <w:t>The</w:t>
      </w:r>
      <w:r w:rsidR="002101A9">
        <w:rPr>
          <w:sz w:val="24"/>
          <w:szCs w:val="24"/>
          <w:lang w:val="en-US"/>
        </w:rPr>
        <w:t xml:space="preserve"> impingement on transferability is stronger when judicial decisions impose liability on shareholders</w:t>
      </w:r>
      <w:r w:rsidR="002110CD">
        <w:rPr>
          <w:sz w:val="24"/>
          <w:szCs w:val="24"/>
          <w:lang w:val="en-US"/>
        </w:rPr>
        <w:t xml:space="preserve"> for obligations </w:t>
      </w:r>
      <w:r w:rsidR="00993F05">
        <w:rPr>
          <w:sz w:val="24"/>
          <w:szCs w:val="24"/>
          <w:lang w:val="en-US"/>
        </w:rPr>
        <w:t>accruing or claims filed</w:t>
      </w:r>
      <w:r w:rsidR="002110CD">
        <w:rPr>
          <w:sz w:val="24"/>
          <w:szCs w:val="24"/>
          <w:lang w:val="en-US"/>
        </w:rPr>
        <w:t xml:space="preserve"> in periods outside of their tenure as shareholder—that is, before such shareholders bought or after they have sold</w:t>
      </w:r>
      <w:r w:rsidR="00C81FEE">
        <w:rPr>
          <w:sz w:val="24"/>
          <w:szCs w:val="24"/>
          <w:lang w:val="en-US"/>
        </w:rPr>
        <w:t xml:space="preserve"> their </w:t>
      </w:r>
      <w:r w:rsidR="002110CD">
        <w:rPr>
          <w:sz w:val="24"/>
          <w:szCs w:val="24"/>
          <w:lang w:val="en-US"/>
        </w:rPr>
        <w:t xml:space="preserve">shares. </w:t>
      </w:r>
      <w:r w:rsidR="00D354B7">
        <w:rPr>
          <w:sz w:val="24"/>
          <w:szCs w:val="24"/>
          <w:lang w:val="en-US"/>
        </w:rPr>
        <w:t xml:space="preserve">It is particularly difficult to justify on efficiency grounds the </w:t>
      </w:r>
      <w:r w:rsidR="00CB6C63">
        <w:rPr>
          <w:sz w:val="24"/>
          <w:szCs w:val="24"/>
          <w:lang w:val="en-US"/>
        </w:rPr>
        <w:t xml:space="preserve">imposition of liability on former shareholders for </w:t>
      </w:r>
      <w:r w:rsidR="00EE7DA7">
        <w:rPr>
          <w:sz w:val="24"/>
          <w:szCs w:val="24"/>
          <w:lang w:val="en-US"/>
        </w:rPr>
        <w:t>contracts or torts that take place</w:t>
      </w:r>
      <w:r w:rsidR="00CB6C63">
        <w:rPr>
          <w:sz w:val="24"/>
          <w:szCs w:val="24"/>
          <w:lang w:val="en-US"/>
        </w:rPr>
        <w:t xml:space="preserve"> after the transfer of the shares</w:t>
      </w:r>
      <w:r w:rsidR="006152BE">
        <w:rPr>
          <w:sz w:val="24"/>
          <w:szCs w:val="24"/>
          <w:lang w:val="en-US"/>
        </w:rPr>
        <w:t>, as some Brazilian courts have done with respect to labor claims</w:t>
      </w:r>
      <w:r w:rsidR="00CB6C63">
        <w:rPr>
          <w:sz w:val="24"/>
          <w:szCs w:val="24"/>
          <w:lang w:val="en-US"/>
        </w:rPr>
        <w:t>.</w:t>
      </w:r>
      <w:r w:rsidR="00CD39BE">
        <w:rPr>
          <w:rStyle w:val="Refdenotaderodap"/>
          <w:sz w:val="24"/>
          <w:szCs w:val="24"/>
          <w:lang w:val="en-US"/>
        </w:rPr>
        <w:footnoteReference w:id="239"/>
      </w:r>
      <w:r w:rsidR="00CB6C63">
        <w:rPr>
          <w:sz w:val="24"/>
          <w:szCs w:val="24"/>
          <w:lang w:val="en-US"/>
        </w:rPr>
        <w:t xml:space="preserve">  </w:t>
      </w:r>
    </w:p>
    <w:p w:rsidR="00DD2727" w:rsidRPr="00E725E0" w:rsidRDefault="00E725E0" w:rsidP="00DD2727">
      <w:pPr>
        <w:ind w:firstLine="708"/>
        <w:jc w:val="both"/>
        <w:rPr>
          <w:i/>
          <w:sz w:val="24"/>
          <w:szCs w:val="24"/>
          <w:lang w:val="en-US"/>
        </w:rPr>
      </w:pPr>
      <w:r>
        <w:rPr>
          <w:sz w:val="24"/>
          <w:szCs w:val="24"/>
          <w:lang w:val="en-US"/>
        </w:rPr>
        <w:t>5.</w:t>
      </w:r>
      <w:r w:rsidR="00DD2727" w:rsidRPr="00DD2727">
        <w:rPr>
          <w:sz w:val="24"/>
          <w:szCs w:val="24"/>
          <w:lang w:val="en-US"/>
        </w:rPr>
        <w:t xml:space="preserve">  </w:t>
      </w:r>
      <w:r>
        <w:rPr>
          <w:sz w:val="24"/>
          <w:szCs w:val="24"/>
          <w:lang w:val="en-US"/>
        </w:rPr>
        <w:tab/>
      </w:r>
      <w:r w:rsidR="00DD2727" w:rsidRPr="00E725E0">
        <w:rPr>
          <w:i/>
          <w:sz w:val="24"/>
          <w:szCs w:val="24"/>
          <w:lang w:val="en-US"/>
        </w:rPr>
        <w:t xml:space="preserve">Investor ownership </w:t>
      </w:r>
    </w:p>
    <w:p w:rsidR="00DD2727" w:rsidRPr="00DD2727" w:rsidRDefault="00DD2727" w:rsidP="00DD2727">
      <w:pPr>
        <w:ind w:firstLine="708"/>
        <w:jc w:val="both"/>
        <w:rPr>
          <w:sz w:val="24"/>
          <w:szCs w:val="24"/>
          <w:lang w:val="en-US"/>
        </w:rPr>
      </w:pPr>
      <w:r w:rsidRPr="00DD2727">
        <w:rPr>
          <w:sz w:val="24"/>
          <w:szCs w:val="24"/>
          <w:lang w:val="en-US"/>
        </w:rPr>
        <w:t xml:space="preserve">The mainstream view today is that investor ownership is generally the most efficient form of </w:t>
      </w:r>
      <w:r w:rsidR="00074510">
        <w:rPr>
          <w:sz w:val="24"/>
          <w:szCs w:val="24"/>
          <w:lang w:val="en-US"/>
        </w:rPr>
        <w:t>enterprise organization</w:t>
      </w:r>
      <w:r w:rsidRPr="00DD2727">
        <w:rPr>
          <w:sz w:val="24"/>
          <w:szCs w:val="24"/>
          <w:lang w:val="en-US"/>
        </w:rPr>
        <w:t>.</w:t>
      </w:r>
      <w:r w:rsidR="00893797">
        <w:rPr>
          <w:rStyle w:val="Refdenotaderodap"/>
          <w:sz w:val="24"/>
          <w:szCs w:val="24"/>
          <w:lang w:val="en-US"/>
        </w:rPr>
        <w:footnoteReference w:id="240"/>
      </w:r>
      <w:r w:rsidRPr="00DD2727">
        <w:rPr>
          <w:sz w:val="24"/>
          <w:szCs w:val="24"/>
          <w:lang w:val="en-US"/>
        </w:rPr>
        <w:t xml:space="preserve"> </w:t>
      </w:r>
      <w:r w:rsidR="009D6F32">
        <w:rPr>
          <w:sz w:val="24"/>
          <w:szCs w:val="24"/>
          <w:lang w:val="en-US"/>
        </w:rPr>
        <w:t>At the same time,</w:t>
      </w:r>
      <w:r w:rsidR="00F45F37">
        <w:rPr>
          <w:sz w:val="24"/>
          <w:szCs w:val="24"/>
          <w:lang w:val="en-US"/>
        </w:rPr>
        <w:t xml:space="preserve"> </w:t>
      </w:r>
      <w:r w:rsidRPr="00DD2727">
        <w:rPr>
          <w:sz w:val="24"/>
          <w:szCs w:val="24"/>
          <w:lang w:val="en-US"/>
        </w:rPr>
        <w:t>heterodox critiques, as w</w:t>
      </w:r>
      <w:r w:rsidR="00311D8D">
        <w:rPr>
          <w:sz w:val="24"/>
          <w:szCs w:val="24"/>
          <w:lang w:val="en-US"/>
        </w:rPr>
        <w:t>ell as some empirical studies, point to</w:t>
      </w:r>
      <w:r w:rsidRPr="00DD2727">
        <w:rPr>
          <w:sz w:val="24"/>
          <w:szCs w:val="24"/>
          <w:lang w:val="en-US"/>
        </w:rPr>
        <w:t xml:space="preserve"> the efficiency of state ownership in certain contexts.</w:t>
      </w:r>
      <w:r w:rsidR="00311D8D">
        <w:rPr>
          <w:rStyle w:val="Refdenotaderodap"/>
          <w:sz w:val="24"/>
          <w:szCs w:val="24"/>
          <w:lang w:val="en-US"/>
        </w:rPr>
        <w:footnoteReference w:id="241"/>
      </w:r>
      <w:r w:rsidRPr="00DD2727">
        <w:rPr>
          <w:sz w:val="24"/>
          <w:szCs w:val="24"/>
          <w:lang w:val="en-US"/>
        </w:rPr>
        <w:t xml:space="preserve"> In this latter view, </w:t>
      </w:r>
      <w:r w:rsidR="008F060F">
        <w:rPr>
          <w:sz w:val="24"/>
          <w:szCs w:val="24"/>
          <w:lang w:val="en-US"/>
        </w:rPr>
        <w:t xml:space="preserve">which is particularly popular in </w:t>
      </w:r>
      <w:r w:rsidR="00D87DA1">
        <w:rPr>
          <w:sz w:val="24"/>
          <w:szCs w:val="24"/>
          <w:lang w:val="en-US"/>
        </w:rPr>
        <w:t>some</w:t>
      </w:r>
      <w:r w:rsidR="008F060F">
        <w:rPr>
          <w:sz w:val="24"/>
          <w:szCs w:val="24"/>
          <w:lang w:val="en-US"/>
        </w:rPr>
        <w:t xml:space="preserve"> </w:t>
      </w:r>
      <w:r w:rsidR="00AE271C">
        <w:rPr>
          <w:sz w:val="24"/>
          <w:szCs w:val="24"/>
          <w:lang w:val="en-US"/>
        </w:rPr>
        <w:t xml:space="preserve">Latin American </w:t>
      </w:r>
      <w:r w:rsidR="008F060F">
        <w:rPr>
          <w:sz w:val="24"/>
          <w:szCs w:val="24"/>
          <w:lang w:val="en-US"/>
        </w:rPr>
        <w:t xml:space="preserve">countries, </w:t>
      </w:r>
      <w:r w:rsidRPr="00DD2727">
        <w:rPr>
          <w:sz w:val="24"/>
          <w:szCs w:val="24"/>
          <w:lang w:val="en-US"/>
        </w:rPr>
        <w:t>the prevalence of state ownership in Brazil</w:t>
      </w:r>
      <w:r w:rsidR="008F060F">
        <w:rPr>
          <w:sz w:val="24"/>
          <w:szCs w:val="24"/>
          <w:lang w:val="en-US"/>
        </w:rPr>
        <w:t xml:space="preserve"> constitutes</w:t>
      </w:r>
      <w:r w:rsidRPr="00DD2727">
        <w:rPr>
          <w:sz w:val="24"/>
          <w:szCs w:val="24"/>
          <w:lang w:val="en-US"/>
        </w:rPr>
        <w:t xml:space="preserve"> a sign of</w:t>
      </w:r>
      <w:r w:rsidR="0093504E">
        <w:rPr>
          <w:sz w:val="24"/>
          <w:szCs w:val="24"/>
          <w:lang w:val="en-US"/>
        </w:rPr>
        <w:t xml:space="preserve"> economic and social</w:t>
      </w:r>
      <w:r w:rsidRPr="00DD2727">
        <w:rPr>
          <w:sz w:val="24"/>
          <w:szCs w:val="24"/>
          <w:lang w:val="en-US"/>
        </w:rPr>
        <w:t xml:space="preserve"> progress.</w:t>
      </w:r>
    </w:p>
    <w:p w:rsidR="00DD2727" w:rsidRDefault="00B55B6B" w:rsidP="00DD2727">
      <w:pPr>
        <w:ind w:firstLine="708"/>
        <w:jc w:val="both"/>
        <w:rPr>
          <w:sz w:val="24"/>
          <w:szCs w:val="24"/>
          <w:lang w:val="en-US"/>
        </w:rPr>
      </w:pPr>
      <w:r>
        <w:rPr>
          <w:sz w:val="24"/>
          <w:szCs w:val="24"/>
          <w:lang w:val="en-US"/>
        </w:rPr>
        <w:t xml:space="preserve">A more </w:t>
      </w:r>
      <w:r w:rsidR="00A3266E">
        <w:rPr>
          <w:sz w:val="24"/>
          <w:szCs w:val="24"/>
          <w:lang w:val="en-US"/>
        </w:rPr>
        <w:t xml:space="preserve">broadly </w:t>
      </w:r>
      <w:r w:rsidR="00DD2727" w:rsidRPr="00DD2727">
        <w:rPr>
          <w:sz w:val="24"/>
          <w:szCs w:val="24"/>
          <w:lang w:val="en-US"/>
        </w:rPr>
        <w:t xml:space="preserve">accepted </w:t>
      </w:r>
      <w:r>
        <w:rPr>
          <w:sz w:val="24"/>
          <w:szCs w:val="24"/>
          <w:lang w:val="en-US"/>
        </w:rPr>
        <w:t xml:space="preserve">claim </w:t>
      </w:r>
      <w:r w:rsidR="00DD2727" w:rsidRPr="00DD2727">
        <w:rPr>
          <w:sz w:val="24"/>
          <w:szCs w:val="24"/>
          <w:lang w:val="en-US"/>
        </w:rPr>
        <w:t>is that certain deficiencies in the institutional environment may</w:t>
      </w:r>
      <w:r w:rsidR="00456101">
        <w:rPr>
          <w:sz w:val="24"/>
          <w:szCs w:val="24"/>
          <w:lang w:val="en-US"/>
        </w:rPr>
        <w:t xml:space="preserve"> at times</w:t>
      </w:r>
      <w:r w:rsidR="00DD2727" w:rsidRPr="00DD2727">
        <w:rPr>
          <w:sz w:val="24"/>
          <w:szCs w:val="24"/>
          <w:lang w:val="en-US"/>
        </w:rPr>
        <w:t xml:space="preserve"> tip the balance in favor of state ownership</w:t>
      </w:r>
      <w:r w:rsidR="00D740A3">
        <w:rPr>
          <w:sz w:val="24"/>
          <w:szCs w:val="24"/>
          <w:lang w:val="en-US"/>
        </w:rPr>
        <w:t xml:space="preserve"> in developing countries</w:t>
      </w:r>
      <w:r w:rsidR="00DD2727" w:rsidRPr="00DD2727">
        <w:rPr>
          <w:sz w:val="24"/>
          <w:szCs w:val="24"/>
          <w:lang w:val="en-US"/>
        </w:rPr>
        <w:t xml:space="preserve">. </w:t>
      </w:r>
      <w:r w:rsidR="00D740A3">
        <w:rPr>
          <w:sz w:val="24"/>
          <w:szCs w:val="24"/>
          <w:lang w:val="en-US"/>
        </w:rPr>
        <w:t xml:space="preserve">Even strong defenders of private ownership recognize that its superiority </w:t>
      </w:r>
      <w:r w:rsidR="009D734C">
        <w:rPr>
          <w:sz w:val="24"/>
          <w:szCs w:val="24"/>
          <w:lang w:val="en-US"/>
        </w:rPr>
        <w:lastRenderedPageBreak/>
        <w:t>often hinges on the existence of</w:t>
      </w:r>
      <w:r w:rsidR="00D740A3">
        <w:rPr>
          <w:sz w:val="24"/>
          <w:szCs w:val="24"/>
          <w:lang w:val="en-US"/>
        </w:rPr>
        <w:t xml:space="preserve"> good contract institutions.</w:t>
      </w:r>
      <w:r w:rsidR="00D740A3">
        <w:rPr>
          <w:rStyle w:val="Refdenotaderodap"/>
          <w:sz w:val="24"/>
          <w:szCs w:val="24"/>
          <w:lang w:val="en-US"/>
        </w:rPr>
        <w:footnoteReference w:id="242"/>
      </w:r>
      <w:r w:rsidR="00D740A3">
        <w:rPr>
          <w:sz w:val="24"/>
          <w:szCs w:val="24"/>
          <w:lang w:val="en-US"/>
        </w:rPr>
        <w:t xml:space="preserve"> </w:t>
      </w:r>
      <w:r w:rsidR="00893797">
        <w:rPr>
          <w:sz w:val="24"/>
          <w:szCs w:val="24"/>
          <w:lang w:val="en-US"/>
        </w:rPr>
        <w:t xml:space="preserve">Likewise, there is a long tradition defending the role of state ownership in the catch-up process in </w:t>
      </w:r>
      <w:r w:rsidR="00866B87">
        <w:rPr>
          <w:sz w:val="24"/>
          <w:szCs w:val="24"/>
          <w:lang w:val="en-US"/>
        </w:rPr>
        <w:t>environment</w:t>
      </w:r>
      <w:r w:rsidR="00893797">
        <w:rPr>
          <w:sz w:val="24"/>
          <w:szCs w:val="24"/>
          <w:lang w:val="en-US"/>
        </w:rPr>
        <w:t>s where capital market failures prevent sizable investments in long-term projects.</w:t>
      </w:r>
      <w:r w:rsidR="00893797">
        <w:rPr>
          <w:rStyle w:val="Refdenotaderodap"/>
          <w:sz w:val="24"/>
          <w:szCs w:val="24"/>
          <w:lang w:val="en-US"/>
        </w:rPr>
        <w:footnoteReference w:id="243"/>
      </w:r>
    </w:p>
    <w:p w:rsidR="008B1164" w:rsidRDefault="00D07C82" w:rsidP="00DD2727">
      <w:pPr>
        <w:ind w:firstLine="708"/>
        <w:jc w:val="both"/>
        <w:rPr>
          <w:sz w:val="24"/>
          <w:szCs w:val="24"/>
          <w:lang w:val="en-US"/>
        </w:rPr>
      </w:pPr>
      <w:r>
        <w:rPr>
          <w:sz w:val="24"/>
          <w:szCs w:val="24"/>
          <w:lang w:val="en-US"/>
        </w:rPr>
        <w:t>To conclude</w:t>
      </w:r>
      <w:r w:rsidR="00893797">
        <w:rPr>
          <w:sz w:val="24"/>
          <w:szCs w:val="24"/>
          <w:lang w:val="en-US"/>
        </w:rPr>
        <w:t>, as hinted before, the decline of the other elements of the</w:t>
      </w:r>
      <w:r w:rsidR="001812E9">
        <w:rPr>
          <w:lang w:val="en-US"/>
        </w:rPr>
        <w:t xml:space="preserve"> </w:t>
      </w:r>
      <w:r w:rsidR="00893797">
        <w:rPr>
          <w:sz w:val="24"/>
          <w:szCs w:val="24"/>
          <w:lang w:val="en-US"/>
        </w:rPr>
        <w:t xml:space="preserve">corporate form may play a role in weakening the investment capacity of private enterprise and, consequently, strengthening the </w:t>
      </w:r>
      <w:r w:rsidR="00373EE5">
        <w:rPr>
          <w:sz w:val="24"/>
          <w:szCs w:val="24"/>
          <w:lang w:val="en-US"/>
        </w:rPr>
        <w:t xml:space="preserve">case for </w:t>
      </w:r>
      <w:r w:rsidR="00893797">
        <w:rPr>
          <w:sz w:val="24"/>
          <w:szCs w:val="24"/>
          <w:lang w:val="en-US"/>
        </w:rPr>
        <w:t xml:space="preserve">state ownership. The erosion of limited liability increases the risk and decreases the reward of </w:t>
      </w:r>
      <w:r w:rsidR="00B62F42">
        <w:rPr>
          <w:sz w:val="24"/>
          <w:szCs w:val="24"/>
          <w:lang w:val="en-US"/>
        </w:rPr>
        <w:t>private entrepreneurship</w:t>
      </w:r>
      <w:r w:rsidR="00893797">
        <w:rPr>
          <w:sz w:val="24"/>
          <w:szCs w:val="24"/>
          <w:lang w:val="en-US"/>
        </w:rPr>
        <w:t xml:space="preserve">. </w:t>
      </w:r>
      <w:r w:rsidR="00E7658B">
        <w:rPr>
          <w:sz w:val="24"/>
          <w:szCs w:val="24"/>
          <w:lang w:val="en-US"/>
        </w:rPr>
        <w:t>Even when limited liability is inefficient—as with respect to involuntary or non-adjusting creditors—it constitutes a s</w:t>
      </w:r>
      <w:r w:rsidR="001E107E">
        <w:rPr>
          <w:sz w:val="24"/>
          <w:szCs w:val="24"/>
          <w:lang w:val="en-US"/>
        </w:rPr>
        <w:t>ubsidy for private risk-taking</w:t>
      </w:r>
      <w:r w:rsidR="0022554B">
        <w:rPr>
          <w:sz w:val="24"/>
          <w:szCs w:val="24"/>
          <w:lang w:val="en-US"/>
        </w:rPr>
        <w:t xml:space="preserve"> and therefore encourages it. </w:t>
      </w:r>
      <w:r w:rsidR="00441735">
        <w:rPr>
          <w:sz w:val="24"/>
          <w:szCs w:val="24"/>
          <w:lang w:val="en-US"/>
        </w:rPr>
        <w:t xml:space="preserve">The elimination of lock-in, in turn, hampers investments in long-term or risky projects, and in any case reduces the chances of continuity of the enterprise over time. </w:t>
      </w:r>
    </w:p>
    <w:p w:rsidR="005B63B0" w:rsidRPr="00E725E0" w:rsidRDefault="005B63B0" w:rsidP="00E725E0">
      <w:pPr>
        <w:pStyle w:val="PargrafodaLista"/>
        <w:numPr>
          <w:ilvl w:val="0"/>
          <w:numId w:val="10"/>
        </w:numPr>
        <w:jc w:val="both"/>
        <w:rPr>
          <w:sz w:val="24"/>
          <w:szCs w:val="24"/>
          <w:lang w:val="en-US"/>
        </w:rPr>
      </w:pPr>
      <w:r w:rsidRPr="00E725E0">
        <w:rPr>
          <w:sz w:val="24"/>
          <w:szCs w:val="24"/>
          <w:lang w:val="en-US"/>
        </w:rPr>
        <w:t>Distribution</w:t>
      </w:r>
    </w:p>
    <w:p w:rsidR="00BC47EE" w:rsidRPr="00A22ACC" w:rsidRDefault="00373EE5" w:rsidP="00BC47EE">
      <w:pPr>
        <w:ind w:firstLine="708"/>
        <w:jc w:val="both"/>
        <w:rPr>
          <w:sz w:val="24"/>
          <w:szCs w:val="24"/>
          <w:lang w:val="en-US"/>
        </w:rPr>
      </w:pPr>
      <w:r>
        <w:rPr>
          <w:sz w:val="24"/>
          <w:szCs w:val="24"/>
          <w:lang w:val="en-US"/>
        </w:rPr>
        <w:t>A</w:t>
      </w:r>
      <w:r w:rsidR="006E53C4">
        <w:rPr>
          <w:sz w:val="24"/>
          <w:szCs w:val="24"/>
          <w:lang w:val="en-US"/>
        </w:rPr>
        <w:t>nother</w:t>
      </w:r>
      <w:r w:rsidR="0037584D">
        <w:rPr>
          <w:sz w:val="24"/>
          <w:szCs w:val="24"/>
          <w:lang w:val="en-US"/>
        </w:rPr>
        <w:t xml:space="preserve"> line of</w:t>
      </w:r>
      <w:r w:rsidR="006E53C4">
        <w:rPr>
          <w:sz w:val="24"/>
          <w:szCs w:val="24"/>
          <w:lang w:val="en-US"/>
        </w:rPr>
        <w:t xml:space="preserve"> interpretation is that </w:t>
      </w:r>
      <w:r w:rsidR="00BC47EE">
        <w:rPr>
          <w:sz w:val="24"/>
          <w:szCs w:val="24"/>
          <w:lang w:val="en-US"/>
        </w:rPr>
        <w:t xml:space="preserve">distribution considerations, not efficiency, best explain the phenomenon of </w:t>
      </w:r>
      <w:proofErr w:type="spellStart"/>
      <w:r w:rsidR="00BC47EE">
        <w:rPr>
          <w:sz w:val="24"/>
          <w:szCs w:val="24"/>
          <w:lang w:val="en-US"/>
        </w:rPr>
        <w:t>decorporatization</w:t>
      </w:r>
      <w:proofErr w:type="spellEnd"/>
      <w:r w:rsidR="00BC47EE">
        <w:rPr>
          <w:sz w:val="24"/>
          <w:szCs w:val="24"/>
          <w:lang w:val="en-US"/>
        </w:rPr>
        <w:t xml:space="preserve"> in Brazil. </w:t>
      </w:r>
      <w:r w:rsidR="00111747">
        <w:rPr>
          <w:sz w:val="24"/>
          <w:szCs w:val="24"/>
          <w:lang w:val="en-US"/>
        </w:rPr>
        <w:t xml:space="preserve">This interpretation </w:t>
      </w:r>
      <w:r w:rsidR="0037584D">
        <w:rPr>
          <w:sz w:val="24"/>
          <w:szCs w:val="24"/>
          <w:lang w:val="en-US"/>
        </w:rPr>
        <w:t>finds support in the</w:t>
      </w:r>
      <w:r w:rsidR="00111747">
        <w:rPr>
          <w:sz w:val="24"/>
          <w:szCs w:val="24"/>
          <w:lang w:val="en-US"/>
        </w:rPr>
        <w:t xml:space="preserve"> widespread narrative that </w:t>
      </w:r>
      <w:r w:rsidR="00540E1E">
        <w:rPr>
          <w:sz w:val="24"/>
          <w:szCs w:val="24"/>
          <w:lang w:val="en-US"/>
        </w:rPr>
        <w:t>(re)</w:t>
      </w:r>
      <w:r w:rsidR="00111747">
        <w:rPr>
          <w:sz w:val="24"/>
          <w:szCs w:val="24"/>
          <w:lang w:val="en-US"/>
        </w:rPr>
        <w:t>dist</w:t>
      </w:r>
      <w:r w:rsidR="00111747" w:rsidRPr="00A22ACC">
        <w:rPr>
          <w:sz w:val="24"/>
          <w:szCs w:val="24"/>
          <w:lang w:val="en-US"/>
        </w:rPr>
        <w:t>ribution—specifically, the promotion of “social justice”—is a central objective of the Brazilian constitution and a key factor motivating judicial decisions.</w:t>
      </w:r>
      <w:r w:rsidR="00A22ACC" w:rsidRPr="00A22ACC">
        <w:rPr>
          <w:sz w:val="24"/>
          <w:szCs w:val="24"/>
          <w:lang w:val="en-US"/>
        </w:rPr>
        <w:t xml:space="preserve"> In the last decades, Brazil seems to have favored distributive policies in lieu of growth.</w:t>
      </w:r>
      <w:r w:rsidR="00A22ACC" w:rsidRPr="00A22ACC">
        <w:rPr>
          <w:rStyle w:val="Refdenotaderodap"/>
          <w:sz w:val="24"/>
          <w:szCs w:val="24"/>
          <w:lang w:val="en-US"/>
        </w:rPr>
        <w:footnoteReference w:id="244"/>
      </w:r>
    </w:p>
    <w:p w:rsidR="00E730F6" w:rsidRDefault="00A22ACC" w:rsidP="002A10BF">
      <w:pPr>
        <w:ind w:firstLine="708"/>
        <w:jc w:val="both"/>
        <w:rPr>
          <w:sz w:val="24"/>
          <w:szCs w:val="24"/>
          <w:lang w:val="en-US"/>
        </w:rPr>
      </w:pPr>
      <w:r w:rsidRPr="00A22ACC">
        <w:rPr>
          <w:sz w:val="24"/>
          <w:szCs w:val="24"/>
          <w:lang w:val="en-US"/>
        </w:rPr>
        <w:t>Yet m</w:t>
      </w:r>
      <w:r w:rsidR="00540E1E" w:rsidRPr="00A22ACC">
        <w:rPr>
          <w:sz w:val="24"/>
          <w:szCs w:val="24"/>
          <w:lang w:val="en-US"/>
        </w:rPr>
        <w:t xml:space="preserve">ultiple considerations complicate the assessment </w:t>
      </w:r>
      <w:r w:rsidR="00540E1E">
        <w:rPr>
          <w:sz w:val="24"/>
          <w:szCs w:val="24"/>
          <w:lang w:val="en-US"/>
        </w:rPr>
        <w:t xml:space="preserve">of the distributional rationale. </w:t>
      </w:r>
      <w:r w:rsidR="00BC47EE">
        <w:rPr>
          <w:sz w:val="24"/>
          <w:szCs w:val="24"/>
          <w:lang w:val="en-US"/>
        </w:rPr>
        <w:t>First, while redistribution can enhance social welfare, there is no consensus on the</w:t>
      </w:r>
      <w:r w:rsidR="00BB20CE">
        <w:rPr>
          <w:sz w:val="24"/>
          <w:szCs w:val="24"/>
          <w:lang w:val="en-US"/>
        </w:rPr>
        <w:t xml:space="preserve"> optimal degree of inequality and, therefore, on the optimal level of redistribution</w:t>
      </w:r>
      <w:r w:rsidR="005B3A85">
        <w:rPr>
          <w:sz w:val="24"/>
          <w:szCs w:val="24"/>
          <w:lang w:val="en-US"/>
        </w:rPr>
        <w:t>. Second,</w:t>
      </w:r>
      <w:r w:rsidR="00BC47EE">
        <w:rPr>
          <w:sz w:val="24"/>
          <w:szCs w:val="24"/>
          <w:lang w:val="en-US"/>
        </w:rPr>
        <w:t xml:space="preserve"> distribution-oriented policies </w:t>
      </w:r>
      <w:r w:rsidR="00BE656E">
        <w:rPr>
          <w:sz w:val="24"/>
          <w:szCs w:val="24"/>
          <w:lang w:val="en-US"/>
        </w:rPr>
        <w:t>resulting</w:t>
      </w:r>
      <w:r w:rsidR="000F53D8">
        <w:rPr>
          <w:sz w:val="24"/>
          <w:szCs w:val="24"/>
          <w:lang w:val="en-US"/>
        </w:rPr>
        <w:t xml:space="preserve"> from interest-group pressure</w:t>
      </w:r>
      <w:r w:rsidR="00CD2EA7">
        <w:rPr>
          <w:sz w:val="24"/>
          <w:szCs w:val="24"/>
          <w:lang w:val="en-US"/>
        </w:rPr>
        <w:t xml:space="preserve"> can easily be</w:t>
      </w:r>
      <w:r w:rsidR="00BC47EE">
        <w:rPr>
          <w:sz w:val="24"/>
          <w:szCs w:val="24"/>
          <w:lang w:val="en-US"/>
        </w:rPr>
        <w:t xml:space="preserve"> regressive and</w:t>
      </w:r>
      <w:r w:rsidR="00CD2EA7">
        <w:rPr>
          <w:sz w:val="24"/>
          <w:szCs w:val="24"/>
          <w:lang w:val="en-US"/>
        </w:rPr>
        <w:t xml:space="preserve">, as a result, </w:t>
      </w:r>
      <w:r w:rsidR="00BC47EE">
        <w:rPr>
          <w:sz w:val="24"/>
          <w:szCs w:val="24"/>
          <w:lang w:val="en-US"/>
        </w:rPr>
        <w:t xml:space="preserve">end up decreasing social welfare. </w:t>
      </w:r>
      <w:r w:rsidR="005B3A85">
        <w:rPr>
          <w:sz w:val="24"/>
          <w:szCs w:val="24"/>
          <w:lang w:val="en-US"/>
        </w:rPr>
        <w:t xml:space="preserve">Third, and relatedly, there is the </w:t>
      </w:r>
      <w:r w:rsidR="00DD51B2">
        <w:rPr>
          <w:sz w:val="24"/>
          <w:szCs w:val="24"/>
          <w:lang w:val="en-US"/>
        </w:rPr>
        <w:t xml:space="preserve">well-known </w:t>
      </w:r>
      <w:r w:rsidR="005B3A85">
        <w:rPr>
          <w:sz w:val="24"/>
          <w:szCs w:val="24"/>
          <w:lang w:val="en-US"/>
        </w:rPr>
        <w:t>risk that a</w:t>
      </w:r>
      <w:r w:rsidR="002A10BF">
        <w:rPr>
          <w:sz w:val="24"/>
          <w:szCs w:val="24"/>
          <w:lang w:val="en-US"/>
        </w:rPr>
        <w:t xml:space="preserve"> private law</w:t>
      </w:r>
      <w:r w:rsidR="005B3A85">
        <w:rPr>
          <w:sz w:val="24"/>
          <w:szCs w:val="24"/>
          <w:lang w:val="en-US"/>
        </w:rPr>
        <w:t xml:space="preserve"> policy aimed at reducing inequality or poverty </w:t>
      </w:r>
      <w:r w:rsidR="002A10BF">
        <w:rPr>
          <w:sz w:val="24"/>
          <w:szCs w:val="24"/>
          <w:lang w:val="en-US"/>
        </w:rPr>
        <w:t xml:space="preserve">may </w:t>
      </w:r>
      <w:r w:rsidR="006B669C">
        <w:rPr>
          <w:sz w:val="24"/>
          <w:szCs w:val="24"/>
          <w:lang w:val="en-US"/>
        </w:rPr>
        <w:t>produce the opposite result. The brie</w:t>
      </w:r>
      <w:r w:rsidR="00E667C7">
        <w:rPr>
          <w:sz w:val="24"/>
          <w:szCs w:val="24"/>
          <w:lang w:val="en-US"/>
        </w:rPr>
        <w:t xml:space="preserve">f discussions </w:t>
      </w:r>
      <w:r w:rsidR="00F76752">
        <w:rPr>
          <w:sz w:val="24"/>
          <w:szCs w:val="24"/>
          <w:lang w:val="en-US"/>
        </w:rPr>
        <w:t>that follow</w:t>
      </w:r>
      <w:r w:rsidR="00E667C7">
        <w:rPr>
          <w:sz w:val="24"/>
          <w:szCs w:val="24"/>
          <w:lang w:val="en-US"/>
        </w:rPr>
        <w:t>s</w:t>
      </w:r>
      <w:r w:rsidR="00F76752">
        <w:rPr>
          <w:sz w:val="24"/>
          <w:szCs w:val="24"/>
          <w:lang w:val="en-US"/>
        </w:rPr>
        <w:t xml:space="preserve"> will not attempt to resolve these very difficult questions. Instead, </w:t>
      </w:r>
      <w:r w:rsidR="00E667C7">
        <w:rPr>
          <w:sz w:val="24"/>
          <w:szCs w:val="24"/>
          <w:lang w:val="en-US"/>
        </w:rPr>
        <w:t>it will be</w:t>
      </w:r>
      <w:r w:rsidR="00F76752">
        <w:rPr>
          <w:sz w:val="24"/>
          <w:szCs w:val="24"/>
          <w:lang w:val="en-US"/>
        </w:rPr>
        <w:t xml:space="preserve"> limited </w:t>
      </w:r>
      <w:r w:rsidR="009A689F">
        <w:rPr>
          <w:sz w:val="24"/>
          <w:szCs w:val="24"/>
          <w:lang w:val="en-US"/>
        </w:rPr>
        <w:t xml:space="preserve">to examining whether </w:t>
      </w:r>
      <w:r w:rsidR="00B71554">
        <w:rPr>
          <w:sz w:val="24"/>
          <w:szCs w:val="24"/>
          <w:lang w:val="en-US"/>
        </w:rPr>
        <w:t xml:space="preserve">distributional </w:t>
      </w:r>
      <w:r w:rsidR="00AF6FF3">
        <w:rPr>
          <w:sz w:val="24"/>
          <w:szCs w:val="24"/>
          <w:lang w:val="en-US"/>
        </w:rPr>
        <w:t>intentions provide a</w:t>
      </w:r>
      <w:r w:rsidR="008C1199">
        <w:rPr>
          <w:sz w:val="24"/>
          <w:szCs w:val="24"/>
          <w:lang w:val="en-US"/>
        </w:rPr>
        <w:t xml:space="preserve"> </w:t>
      </w:r>
      <w:r w:rsidR="008C1199">
        <w:rPr>
          <w:i/>
          <w:sz w:val="24"/>
          <w:szCs w:val="24"/>
          <w:lang w:val="en-US"/>
        </w:rPr>
        <w:t>prima facie</w:t>
      </w:r>
      <w:r w:rsidR="00AF6FF3">
        <w:rPr>
          <w:sz w:val="24"/>
          <w:szCs w:val="24"/>
          <w:lang w:val="en-US"/>
        </w:rPr>
        <w:t xml:space="preserve"> plausible explanation for the decline of corporate attributes in Brazil, as well as </w:t>
      </w:r>
      <w:r w:rsidR="00E730F6">
        <w:rPr>
          <w:sz w:val="24"/>
          <w:szCs w:val="24"/>
          <w:lang w:val="en-US"/>
        </w:rPr>
        <w:t xml:space="preserve">initial reflections on the promise of these strategies to reduce inequality. </w:t>
      </w:r>
    </w:p>
    <w:p w:rsidR="000A3CA7" w:rsidRDefault="000A3CA7" w:rsidP="005B3A85">
      <w:pPr>
        <w:ind w:firstLine="708"/>
        <w:jc w:val="both"/>
        <w:rPr>
          <w:sz w:val="24"/>
          <w:szCs w:val="24"/>
          <w:lang w:val="en-US"/>
        </w:rPr>
      </w:pPr>
      <w:r>
        <w:rPr>
          <w:sz w:val="24"/>
          <w:szCs w:val="24"/>
          <w:lang w:val="en-US"/>
        </w:rPr>
        <w:t>At first sight, the distribution accoun</w:t>
      </w:r>
      <w:r w:rsidR="005A4F1C">
        <w:rPr>
          <w:sz w:val="24"/>
          <w:szCs w:val="24"/>
          <w:lang w:val="en-US"/>
        </w:rPr>
        <w:t xml:space="preserve">t appears to have </w:t>
      </w:r>
      <w:r w:rsidR="003D6B37">
        <w:rPr>
          <w:sz w:val="24"/>
          <w:szCs w:val="24"/>
          <w:lang w:val="en-US"/>
        </w:rPr>
        <w:t>significant</w:t>
      </w:r>
      <w:r w:rsidR="005A4F1C">
        <w:rPr>
          <w:sz w:val="24"/>
          <w:szCs w:val="24"/>
          <w:lang w:val="en-US"/>
        </w:rPr>
        <w:t xml:space="preserve"> purchase</w:t>
      </w:r>
      <w:r w:rsidR="00E667C7">
        <w:rPr>
          <w:sz w:val="24"/>
          <w:szCs w:val="24"/>
          <w:lang w:val="en-US"/>
        </w:rPr>
        <w:t xml:space="preserve">, especially when it comes to explaining features of Brazilian law that seem to entirely </w:t>
      </w:r>
      <w:r w:rsidR="00DE3F96">
        <w:rPr>
          <w:sz w:val="24"/>
          <w:szCs w:val="24"/>
          <w:lang w:val="en-US"/>
        </w:rPr>
        <w:lastRenderedPageBreak/>
        <w:t xml:space="preserve">lack an </w:t>
      </w:r>
      <w:r w:rsidR="00E667C7">
        <w:rPr>
          <w:sz w:val="24"/>
          <w:szCs w:val="24"/>
          <w:lang w:val="en-US"/>
        </w:rPr>
        <w:t xml:space="preserve">efficiency explanation, such as the imposition of joint and several liability </w:t>
      </w:r>
      <w:r w:rsidR="00900391">
        <w:rPr>
          <w:sz w:val="24"/>
          <w:szCs w:val="24"/>
          <w:lang w:val="en-US"/>
        </w:rPr>
        <w:t xml:space="preserve">among shareholders </w:t>
      </w:r>
      <w:r w:rsidR="00E667C7">
        <w:rPr>
          <w:sz w:val="24"/>
          <w:szCs w:val="24"/>
          <w:lang w:val="en-US"/>
        </w:rPr>
        <w:t>in cases of veil piercing</w:t>
      </w:r>
      <w:r w:rsidR="005A4F1C">
        <w:rPr>
          <w:sz w:val="24"/>
          <w:szCs w:val="24"/>
          <w:lang w:val="en-US"/>
        </w:rPr>
        <w:t>. Expansive veil piercing under Brazilian law favors parties that are presumably weaker</w:t>
      </w:r>
      <w:r w:rsidR="003D6B37">
        <w:rPr>
          <w:sz w:val="24"/>
          <w:szCs w:val="24"/>
          <w:lang w:val="en-US"/>
        </w:rPr>
        <w:t>, such as workers and consumers, while the elimination of lock-in favors minority shareholders.</w:t>
      </w:r>
      <w:r w:rsidR="00691E78">
        <w:rPr>
          <w:rStyle w:val="Refdenotaderodap"/>
          <w:sz w:val="24"/>
          <w:szCs w:val="24"/>
          <w:lang w:val="en-US"/>
        </w:rPr>
        <w:footnoteReference w:id="245"/>
      </w:r>
      <w:r w:rsidR="003D6B37">
        <w:rPr>
          <w:sz w:val="24"/>
          <w:szCs w:val="24"/>
          <w:lang w:val="en-US"/>
        </w:rPr>
        <w:t xml:space="preserve"> </w:t>
      </w:r>
      <w:r w:rsidR="002A10BF">
        <w:rPr>
          <w:sz w:val="24"/>
          <w:szCs w:val="24"/>
          <w:lang w:val="en-US"/>
        </w:rPr>
        <w:t xml:space="preserve">Distribution considerations are also a plausible justification for continued state ownership. </w:t>
      </w:r>
    </w:p>
    <w:p w:rsidR="00B52F2B" w:rsidRPr="00A22ACC" w:rsidRDefault="00E667C7" w:rsidP="005B3A85">
      <w:pPr>
        <w:ind w:firstLine="708"/>
        <w:jc w:val="both"/>
        <w:rPr>
          <w:sz w:val="24"/>
          <w:szCs w:val="24"/>
          <w:lang w:val="en-US"/>
        </w:rPr>
      </w:pPr>
      <w:r>
        <w:rPr>
          <w:sz w:val="24"/>
          <w:szCs w:val="24"/>
          <w:lang w:val="en-US"/>
        </w:rPr>
        <w:t xml:space="preserve">While further investigation is necessary to ascertain </w:t>
      </w:r>
      <w:r w:rsidR="00B52F2B">
        <w:rPr>
          <w:sz w:val="24"/>
          <w:szCs w:val="24"/>
          <w:lang w:val="en-US"/>
        </w:rPr>
        <w:t>the effects of such distribution-oriented approach</w:t>
      </w:r>
      <w:r>
        <w:rPr>
          <w:sz w:val="24"/>
          <w:szCs w:val="24"/>
          <w:lang w:val="en-US"/>
        </w:rPr>
        <w:t xml:space="preserve">, </w:t>
      </w:r>
      <w:r w:rsidR="00F95ECC">
        <w:rPr>
          <w:sz w:val="24"/>
          <w:szCs w:val="24"/>
          <w:lang w:val="en-US"/>
        </w:rPr>
        <w:t>there is</w:t>
      </w:r>
      <w:r w:rsidR="00F726D7">
        <w:rPr>
          <w:sz w:val="24"/>
          <w:szCs w:val="24"/>
          <w:lang w:val="en-US"/>
        </w:rPr>
        <w:t xml:space="preserve"> reason</w:t>
      </w:r>
      <w:r w:rsidR="007E0B17">
        <w:rPr>
          <w:sz w:val="24"/>
          <w:szCs w:val="24"/>
          <w:lang w:val="en-US"/>
        </w:rPr>
        <w:t xml:space="preserve"> </w:t>
      </w:r>
      <w:r w:rsidR="00F95ECC">
        <w:rPr>
          <w:sz w:val="24"/>
          <w:szCs w:val="24"/>
          <w:lang w:val="en-US"/>
        </w:rPr>
        <w:t>to be skeptical about</w:t>
      </w:r>
      <w:r w:rsidR="003722E8">
        <w:rPr>
          <w:sz w:val="24"/>
          <w:szCs w:val="24"/>
          <w:lang w:val="en-US"/>
        </w:rPr>
        <w:t xml:space="preserve"> </w:t>
      </w:r>
      <w:r w:rsidR="00B52F2B">
        <w:rPr>
          <w:sz w:val="24"/>
          <w:szCs w:val="24"/>
          <w:lang w:val="en-US"/>
        </w:rPr>
        <w:t>its efficacy</w:t>
      </w:r>
      <w:r w:rsidR="003722E8">
        <w:rPr>
          <w:sz w:val="24"/>
          <w:szCs w:val="24"/>
          <w:lang w:val="en-US"/>
        </w:rPr>
        <w:t xml:space="preserve"> in tackling the broader problem of inequality. Veil piercing under labor laws only benefit</w:t>
      </w:r>
      <w:r w:rsidR="00F30ACE">
        <w:rPr>
          <w:sz w:val="24"/>
          <w:szCs w:val="24"/>
          <w:lang w:val="en-US"/>
        </w:rPr>
        <w:t>s</w:t>
      </w:r>
      <w:r w:rsidR="003722E8">
        <w:rPr>
          <w:sz w:val="24"/>
          <w:szCs w:val="24"/>
          <w:lang w:val="en-US"/>
        </w:rPr>
        <w:t xml:space="preserve"> formal workers—which constitute a little more than half of Brazil’s labor force. Informal workers, often the poorest</w:t>
      </w:r>
      <w:r w:rsidR="00F87777">
        <w:rPr>
          <w:sz w:val="24"/>
          <w:szCs w:val="24"/>
          <w:lang w:val="en-US"/>
        </w:rPr>
        <w:t>, remain unprotected. The effects of state ownership on redistribution are also dubious. Brazil’s National Development Bank famously directs highly subsidized interest rates to the country’s largest business groups.</w:t>
      </w:r>
      <w:r w:rsidR="00F87777">
        <w:rPr>
          <w:rStyle w:val="Refdenotaderodap"/>
          <w:sz w:val="24"/>
          <w:szCs w:val="24"/>
          <w:lang w:val="en-US"/>
        </w:rPr>
        <w:footnoteReference w:id="246"/>
      </w:r>
      <w:r w:rsidR="00F87777">
        <w:rPr>
          <w:sz w:val="24"/>
          <w:szCs w:val="24"/>
          <w:lang w:val="en-US"/>
        </w:rPr>
        <w:t xml:space="preserve"> </w:t>
      </w:r>
      <w:r w:rsidR="00B7425A">
        <w:rPr>
          <w:sz w:val="24"/>
          <w:szCs w:val="24"/>
          <w:lang w:val="en-US"/>
        </w:rPr>
        <w:t>In other areas</w:t>
      </w:r>
      <w:r w:rsidR="00603BFC">
        <w:rPr>
          <w:sz w:val="24"/>
          <w:szCs w:val="24"/>
          <w:lang w:val="en-US"/>
        </w:rPr>
        <w:t xml:space="preserve"> of Brazilian law</w:t>
      </w:r>
      <w:r w:rsidR="00B7425A">
        <w:rPr>
          <w:sz w:val="24"/>
          <w:szCs w:val="24"/>
          <w:lang w:val="en-US"/>
        </w:rPr>
        <w:t>,</w:t>
      </w:r>
      <w:r w:rsidR="00203C42">
        <w:rPr>
          <w:sz w:val="24"/>
          <w:szCs w:val="24"/>
          <w:lang w:val="en-US"/>
        </w:rPr>
        <w:t xml:space="preserve"> most conspicuously in healthcare</w:t>
      </w:r>
      <w:r w:rsidR="00603BFC">
        <w:rPr>
          <w:sz w:val="24"/>
          <w:szCs w:val="24"/>
          <w:lang w:val="en-US"/>
        </w:rPr>
        <w:t xml:space="preserve"> litigation</w:t>
      </w:r>
      <w:r w:rsidR="00203C42">
        <w:rPr>
          <w:sz w:val="24"/>
          <w:szCs w:val="24"/>
          <w:lang w:val="en-US"/>
        </w:rPr>
        <w:t>,</w:t>
      </w:r>
      <w:r w:rsidR="00B7425A">
        <w:rPr>
          <w:sz w:val="24"/>
          <w:szCs w:val="24"/>
          <w:lang w:val="en-US"/>
        </w:rPr>
        <w:t xml:space="preserve"> there is significant evidence of a myopic distributional approach by Brazil’s judiciary</w:t>
      </w:r>
      <w:r w:rsidR="00603BFC">
        <w:rPr>
          <w:sz w:val="24"/>
          <w:szCs w:val="24"/>
          <w:lang w:val="en-US"/>
        </w:rPr>
        <w:t xml:space="preserve"> in granting the requests of plaintiffs to the detriment of </w:t>
      </w:r>
      <w:r w:rsidR="00603BFC" w:rsidRPr="00A22ACC">
        <w:rPr>
          <w:sz w:val="24"/>
          <w:szCs w:val="24"/>
          <w:lang w:val="en-US"/>
        </w:rPr>
        <w:t>more effective public policies</w:t>
      </w:r>
      <w:r w:rsidR="00B52F2B" w:rsidRPr="00A22ACC">
        <w:rPr>
          <w:sz w:val="24"/>
          <w:szCs w:val="24"/>
          <w:lang w:val="en-US"/>
        </w:rPr>
        <w:t>.</w:t>
      </w:r>
      <w:r w:rsidR="00B52F2B" w:rsidRPr="00A22ACC">
        <w:rPr>
          <w:rStyle w:val="Refdenotaderodap"/>
          <w:sz w:val="24"/>
          <w:szCs w:val="24"/>
          <w:lang w:val="en-US"/>
        </w:rPr>
        <w:footnoteReference w:id="247"/>
      </w:r>
    </w:p>
    <w:p w:rsidR="00BC47EE" w:rsidRPr="00A22ACC" w:rsidRDefault="00A22ACC" w:rsidP="00A22ACC">
      <w:pPr>
        <w:ind w:firstLine="708"/>
        <w:jc w:val="both"/>
        <w:rPr>
          <w:b/>
          <w:color w:val="FF0000"/>
          <w:sz w:val="24"/>
          <w:szCs w:val="24"/>
          <w:lang w:val="en-US"/>
        </w:rPr>
      </w:pPr>
      <w:r w:rsidRPr="00A22ACC">
        <w:rPr>
          <w:sz w:val="24"/>
          <w:szCs w:val="24"/>
          <w:lang w:val="en-US"/>
        </w:rPr>
        <w:t xml:space="preserve">In many respects, Brazilian law epitomizes the dream of progressive corporate law scholars come true, but its effects remain to be determined. </w:t>
      </w:r>
      <w:r w:rsidR="00F87777" w:rsidRPr="00A22ACC">
        <w:rPr>
          <w:sz w:val="24"/>
          <w:szCs w:val="24"/>
          <w:lang w:val="en-US"/>
        </w:rPr>
        <w:t>Brazil’s continuing high leve</w:t>
      </w:r>
      <w:r w:rsidR="005F7CA5" w:rsidRPr="00A22ACC">
        <w:rPr>
          <w:sz w:val="24"/>
          <w:szCs w:val="24"/>
          <w:lang w:val="en-US"/>
        </w:rPr>
        <w:t xml:space="preserve">ls of inequality suggests that abating </w:t>
      </w:r>
      <w:r w:rsidR="00F87777" w:rsidRPr="00A22ACC">
        <w:rPr>
          <w:sz w:val="24"/>
          <w:szCs w:val="24"/>
          <w:lang w:val="en-US"/>
        </w:rPr>
        <w:t xml:space="preserve">the private business corporation </w:t>
      </w:r>
      <w:r w:rsidR="005F7CA5" w:rsidRPr="00A22ACC">
        <w:rPr>
          <w:sz w:val="24"/>
          <w:szCs w:val="24"/>
          <w:lang w:val="en-US"/>
        </w:rPr>
        <w:t xml:space="preserve">is </w:t>
      </w:r>
      <w:r w:rsidR="00F87777" w:rsidRPr="00A22ACC">
        <w:rPr>
          <w:sz w:val="24"/>
          <w:szCs w:val="24"/>
          <w:lang w:val="en-US"/>
        </w:rPr>
        <w:t>no panacea</w:t>
      </w:r>
      <w:r w:rsidR="00C80728" w:rsidRPr="00A22ACC">
        <w:rPr>
          <w:sz w:val="24"/>
          <w:szCs w:val="24"/>
          <w:lang w:val="en-US"/>
        </w:rPr>
        <w:t>, and, to the extent that it discourages investment, might be clearly counterproductive</w:t>
      </w:r>
      <w:r w:rsidR="00F87777" w:rsidRPr="00A22ACC">
        <w:rPr>
          <w:sz w:val="24"/>
          <w:szCs w:val="24"/>
          <w:lang w:val="en-US"/>
        </w:rPr>
        <w:t>.</w:t>
      </w:r>
      <w:r w:rsidR="007133D9" w:rsidRPr="00A22ACC">
        <w:rPr>
          <w:sz w:val="24"/>
          <w:szCs w:val="24"/>
          <w:lang w:val="en-US"/>
        </w:rPr>
        <w:t xml:space="preserve"> Indeed, it may be that the agency problems and externalities generated by the corporate form are well worth the candle, </w:t>
      </w:r>
      <w:r w:rsidR="007133D9">
        <w:rPr>
          <w:sz w:val="24"/>
          <w:szCs w:val="24"/>
          <w:lang w:val="en-US"/>
        </w:rPr>
        <w:t>and that it is in society’s interest to subsidize corporate enterprise in this form.</w:t>
      </w:r>
      <w:r w:rsidR="009C673B">
        <w:rPr>
          <w:rStyle w:val="Refdenotaderodap"/>
          <w:sz w:val="24"/>
          <w:szCs w:val="24"/>
          <w:lang w:val="en-US"/>
        </w:rPr>
        <w:footnoteReference w:id="248"/>
      </w:r>
      <w:r w:rsidR="009C673B">
        <w:rPr>
          <w:sz w:val="24"/>
          <w:szCs w:val="24"/>
          <w:lang w:val="en-US"/>
        </w:rPr>
        <w:t xml:space="preserve"> This profound question, however, remains unsettled. </w:t>
      </w:r>
      <w:r w:rsidR="007133D9">
        <w:rPr>
          <w:sz w:val="24"/>
          <w:szCs w:val="24"/>
          <w:lang w:val="en-US"/>
        </w:rPr>
        <w:t xml:space="preserve"> </w:t>
      </w:r>
    </w:p>
    <w:p w:rsidR="00661A72" w:rsidRDefault="00E96A54" w:rsidP="0061219C">
      <w:pPr>
        <w:keepNext/>
        <w:jc w:val="both"/>
        <w:rPr>
          <w:b/>
          <w:sz w:val="24"/>
          <w:szCs w:val="24"/>
          <w:lang w:val="en-US"/>
        </w:rPr>
      </w:pPr>
      <w:r>
        <w:rPr>
          <w:b/>
          <w:sz w:val="24"/>
          <w:szCs w:val="24"/>
          <w:lang w:val="en-US"/>
        </w:rPr>
        <w:t>III.</w:t>
      </w:r>
      <w:r>
        <w:rPr>
          <w:b/>
          <w:sz w:val="24"/>
          <w:szCs w:val="24"/>
          <w:lang w:val="en-US"/>
        </w:rPr>
        <w:tab/>
      </w:r>
      <w:proofErr w:type="gramStart"/>
      <w:r w:rsidR="00661A72">
        <w:rPr>
          <w:b/>
          <w:sz w:val="24"/>
          <w:szCs w:val="24"/>
          <w:lang w:val="en-US"/>
        </w:rPr>
        <w:t>Beyond</w:t>
      </w:r>
      <w:proofErr w:type="gramEnd"/>
      <w:r w:rsidR="00661A72">
        <w:rPr>
          <w:b/>
          <w:sz w:val="24"/>
          <w:szCs w:val="24"/>
          <w:lang w:val="en-US"/>
        </w:rPr>
        <w:t xml:space="preserve"> Brazil</w:t>
      </w:r>
    </w:p>
    <w:p w:rsidR="00661A72" w:rsidRPr="00661A72" w:rsidRDefault="00661A72" w:rsidP="00661A72">
      <w:pPr>
        <w:jc w:val="both"/>
        <w:rPr>
          <w:sz w:val="24"/>
          <w:szCs w:val="24"/>
          <w:lang w:val="en-US"/>
        </w:rPr>
      </w:pPr>
      <w:r w:rsidRPr="00A220DF">
        <w:rPr>
          <w:b/>
          <w:lang w:val="en-US"/>
        </w:rPr>
        <w:tab/>
      </w:r>
      <w:r w:rsidRPr="00661A72">
        <w:rPr>
          <w:sz w:val="24"/>
          <w:szCs w:val="24"/>
          <w:lang w:val="en-US"/>
        </w:rPr>
        <w:t xml:space="preserve">The foregoing discussion raises the question about whether Brazil’s experience </w:t>
      </w:r>
      <w:r w:rsidR="00B6799D">
        <w:rPr>
          <w:sz w:val="24"/>
          <w:szCs w:val="24"/>
          <w:lang w:val="en-US"/>
        </w:rPr>
        <w:t xml:space="preserve">with </w:t>
      </w:r>
      <w:proofErr w:type="spellStart"/>
      <w:r w:rsidR="00B6799D">
        <w:rPr>
          <w:sz w:val="24"/>
          <w:szCs w:val="24"/>
          <w:lang w:val="en-US"/>
        </w:rPr>
        <w:t>decorporatization</w:t>
      </w:r>
      <w:proofErr w:type="spellEnd"/>
      <w:r w:rsidR="00B6799D">
        <w:rPr>
          <w:sz w:val="24"/>
          <w:szCs w:val="24"/>
          <w:lang w:val="en-US"/>
        </w:rPr>
        <w:t xml:space="preserve"> </w:t>
      </w:r>
      <w:r w:rsidRPr="00661A72">
        <w:rPr>
          <w:sz w:val="24"/>
          <w:szCs w:val="24"/>
          <w:lang w:val="en-US"/>
        </w:rPr>
        <w:t>is exceptional or instead representative of a broader trend among</w:t>
      </w:r>
      <w:r w:rsidR="000B2D1C">
        <w:rPr>
          <w:sz w:val="24"/>
          <w:szCs w:val="24"/>
          <w:lang w:val="en-US"/>
        </w:rPr>
        <w:t xml:space="preserve"> other jurisdictions, and especially</w:t>
      </w:r>
      <w:r w:rsidRPr="00661A72">
        <w:rPr>
          <w:sz w:val="24"/>
          <w:szCs w:val="24"/>
          <w:lang w:val="en-US"/>
        </w:rPr>
        <w:t xml:space="preserve"> developing countries. This is a difficult question to answer. While the prevalence of state ownership in Continental Europe and emerging markets </w:t>
      </w:r>
      <w:proofErr w:type="gramStart"/>
      <w:r w:rsidRPr="00661A72">
        <w:rPr>
          <w:sz w:val="24"/>
          <w:szCs w:val="24"/>
          <w:lang w:val="en-US"/>
        </w:rPr>
        <w:t>is well documented</w:t>
      </w:r>
      <w:proofErr w:type="gramEnd"/>
      <w:r w:rsidRPr="00661A72">
        <w:rPr>
          <w:sz w:val="24"/>
          <w:szCs w:val="24"/>
          <w:lang w:val="en-US"/>
        </w:rPr>
        <w:t>,</w:t>
      </w:r>
      <w:r w:rsidRPr="00661A72">
        <w:rPr>
          <w:rStyle w:val="Refdenotaderodap"/>
          <w:sz w:val="24"/>
          <w:szCs w:val="24"/>
          <w:lang w:val="en-US"/>
        </w:rPr>
        <w:footnoteReference w:id="249"/>
      </w:r>
      <w:r w:rsidRPr="00661A72">
        <w:rPr>
          <w:sz w:val="24"/>
          <w:szCs w:val="24"/>
          <w:lang w:val="en-US"/>
        </w:rPr>
        <w:t xml:space="preserve"> we still know little about possible variations in the strength of the other core elements of the corporate form. </w:t>
      </w:r>
    </w:p>
    <w:p w:rsidR="00661A72" w:rsidRPr="00BC0771" w:rsidRDefault="00661A72" w:rsidP="00661A72">
      <w:pPr>
        <w:ind w:firstLine="708"/>
        <w:jc w:val="both"/>
        <w:rPr>
          <w:sz w:val="24"/>
          <w:szCs w:val="24"/>
          <w:lang w:val="en-US"/>
        </w:rPr>
      </w:pPr>
      <w:r w:rsidRPr="00661A72">
        <w:rPr>
          <w:sz w:val="24"/>
          <w:szCs w:val="24"/>
          <w:lang w:val="en-US"/>
        </w:rPr>
        <w:t xml:space="preserve">The existing literature on this area focuses primarily on limited liability and the exceptions created by the doctrine of veil piercing. As a general matter, developing countries appear to be latecomers in recognizing exceptions to the attribute of limited liability. Recall that this was also the case in Brazil, where the doctrine only gained </w:t>
      </w:r>
      <w:r w:rsidRPr="00661A72">
        <w:rPr>
          <w:sz w:val="24"/>
          <w:szCs w:val="24"/>
          <w:lang w:val="en-US"/>
        </w:rPr>
        <w:lastRenderedPageBreak/>
        <w:t>ground in the last decades. However, most emerging market jurisdictions appear to have been even slower than Brazil in incorporating even</w:t>
      </w:r>
      <w:r w:rsidR="000B2D1C">
        <w:rPr>
          <w:sz w:val="24"/>
          <w:szCs w:val="24"/>
          <w:lang w:val="en-US"/>
        </w:rPr>
        <w:t xml:space="preserve"> the most restrained version of veil piercing</w:t>
      </w:r>
      <w:r w:rsidRPr="00661A72">
        <w:rPr>
          <w:sz w:val="24"/>
          <w:szCs w:val="24"/>
          <w:lang w:val="en-US"/>
        </w:rPr>
        <w:t xml:space="preserve"> premised on the existence of fraud or egregious abuse—the adoption of which would lead to convergence, rather than divergence, from the norm in mature </w:t>
      </w:r>
      <w:r w:rsidRPr="00BC0771">
        <w:rPr>
          <w:sz w:val="24"/>
          <w:szCs w:val="24"/>
          <w:lang w:val="en-US"/>
        </w:rPr>
        <w:t xml:space="preserve">economies. </w:t>
      </w:r>
    </w:p>
    <w:p w:rsidR="00BC0771" w:rsidRDefault="00661A72" w:rsidP="00661A72">
      <w:pPr>
        <w:ind w:firstLine="708"/>
        <w:jc w:val="both"/>
        <w:rPr>
          <w:sz w:val="24"/>
          <w:szCs w:val="24"/>
          <w:lang w:val="en-US"/>
        </w:rPr>
      </w:pPr>
      <w:r w:rsidRPr="00BC0771">
        <w:rPr>
          <w:sz w:val="24"/>
          <w:szCs w:val="24"/>
          <w:lang w:val="en-US"/>
        </w:rPr>
        <w:t xml:space="preserve">For instance, recent studies continue to describe the application of veil piercing in </w:t>
      </w:r>
      <w:r w:rsidR="00BC0771" w:rsidRPr="00BC0771">
        <w:rPr>
          <w:sz w:val="24"/>
          <w:szCs w:val="24"/>
          <w:lang w:val="en-US"/>
        </w:rPr>
        <w:t xml:space="preserve">Spain and </w:t>
      </w:r>
      <w:r w:rsidRPr="00BC0771">
        <w:rPr>
          <w:sz w:val="24"/>
          <w:szCs w:val="24"/>
          <w:lang w:val="en-US"/>
        </w:rPr>
        <w:t>Hispanic America as relatively narrow in scope.</w:t>
      </w:r>
      <w:bookmarkStart w:id="46" w:name="_Ref464468820"/>
      <w:r w:rsidRPr="00BC0771">
        <w:rPr>
          <w:rStyle w:val="Refdenotaderodap"/>
          <w:sz w:val="24"/>
          <w:szCs w:val="24"/>
          <w:lang w:val="en-US"/>
        </w:rPr>
        <w:footnoteReference w:id="250"/>
      </w:r>
      <w:bookmarkEnd w:id="46"/>
      <w:r w:rsidRPr="00BC0771">
        <w:rPr>
          <w:sz w:val="24"/>
          <w:szCs w:val="24"/>
          <w:lang w:val="en-US"/>
        </w:rPr>
        <w:t xml:space="preserve"> </w:t>
      </w:r>
      <w:r w:rsidR="00C66361">
        <w:rPr>
          <w:sz w:val="24"/>
          <w:szCs w:val="24"/>
          <w:lang w:val="en-US"/>
        </w:rPr>
        <w:t>T</w:t>
      </w:r>
      <w:r w:rsidR="00BC0771">
        <w:rPr>
          <w:sz w:val="24"/>
          <w:szCs w:val="24"/>
          <w:lang w:val="en-US"/>
        </w:rPr>
        <w:t>here is</w:t>
      </w:r>
      <w:r w:rsidR="00C66361">
        <w:rPr>
          <w:sz w:val="24"/>
          <w:szCs w:val="24"/>
          <w:lang w:val="en-US"/>
        </w:rPr>
        <w:t>, however,</w:t>
      </w:r>
      <w:r w:rsidR="00BC0771">
        <w:rPr>
          <w:sz w:val="24"/>
          <w:szCs w:val="24"/>
          <w:lang w:val="en-US"/>
        </w:rPr>
        <w:t xml:space="preserve"> some evidence of </w:t>
      </w:r>
      <w:r w:rsidR="00C66361">
        <w:rPr>
          <w:sz w:val="24"/>
          <w:szCs w:val="24"/>
          <w:lang w:val="en-US"/>
        </w:rPr>
        <w:t xml:space="preserve">veil piercing and the application of enterprise liability in the context of corporate groups </w:t>
      </w:r>
      <w:r w:rsidR="00BC0771">
        <w:rPr>
          <w:sz w:val="24"/>
          <w:szCs w:val="24"/>
          <w:lang w:val="en-US"/>
        </w:rPr>
        <w:t>for the benefit of workers and tax authorities in certain Latin American jurisdictions</w:t>
      </w:r>
      <w:r w:rsidRPr="00BC0771">
        <w:rPr>
          <w:sz w:val="24"/>
          <w:szCs w:val="24"/>
          <w:lang w:val="en-US"/>
        </w:rPr>
        <w:t>.</w:t>
      </w:r>
      <w:r w:rsidR="00BC0771">
        <w:rPr>
          <w:rStyle w:val="Refdenotaderodap"/>
          <w:sz w:val="24"/>
          <w:szCs w:val="24"/>
          <w:lang w:val="en-US"/>
        </w:rPr>
        <w:footnoteReference w:id="251"/>
      </w:r>
      <w:r w:rsidR="00C66361">
        <w:rPr>
          <w:sz w:val="24"/>
          <w:szCs w:val="24"/>
          <w:lang w:val="en-US"/>
        </w:rPr>
        <w:t xml:space="preserve"> Nevertheless, the general sense remains that courts are generally reluctant to pierce the corporate veil in civil law jurisdictions.</w:t>
      </w:r>
      <w:r w:rsidR="00C66361">
        <w:rPr>
          <w:rStyle w:val="Refdenotaderodap"/>
          <w:sz w:val="24"/>
          <w:szCs w:val="24"/>
          <w:lang w:val="en-US"/>
        </w:rPr>
        <w:footnoteReference w:id="252"/>
      </w:r>
      <w:r w:rsidR="00C66361">
        <w:rPr>
          <w:sz w:val="24"/>
          <w:szCs w:val="24"/>
          <w:lang w:val="en-US"/>
        </w:rPr>
        <w:t xml:space="preserve"> </w:t>
      </w:r>
    </w:p>
    <w:p w:rsidR="00661A72" w:rsidRPr="00661A72" w:rsidRDefault="00BC0771" w:rsidP="00661A72">
      <w:pPr>
        <w:ind w:firstLine="708"/>
        <w:jc w:val="both"/>
        <w:rPr>
          <w:sz w:val="24"/>
          <w:szCs w:val="24"/>
          <w:lang w:val="en-US"/>
        </w:rPr>
      </w:pPr>
      <w:r w:rsidRPr="00630F56">
        <w:rPr>
          <w:sz w:val="24"/>
          <w:szCs w:val="24"/>
          <w:highlight w:val="yellow"/>
          <w:lang w:val="en-US"/>
        </w:rPr>
        <w:t>[</w:t>
      </w:r>
      <w:proofErr w:type="spellStart"/>
      <w:r w:rsidR="00630F56">
        <w:rPr>
          <w:sz w:val="24"/>
          <w:szCs w:val="24"/>
          <w:highlight w:val="yellow"/>
          <w:lang w:val="en-US"/>
        </w:rPr>
        <w:t>Ventoruzzo</w:t>
      </w:r>
      <w:proofErr w:type="spellEnd"/>
      <w:r w:rsidR="00630F56">
        <w:rPr>
          <w:sz w:val="24"/>
          <w:szCs w:val="24"/>
          <w:highlight w:val="yellow"/>
          <w:lang w:val="en-US"/>
        </w:rPr>
        <w:t xml:space="preserve"> - </w:t>
      </w:r>
      <w:r w:rsidRPr="00630F56">
        <w:rPr>
          <w:sz w:val="24"/>
          <w:szCs w:val="24"/>
          <w:highlight w:val="yellow"/>
          <w:lang w:val="en-US"/>
        </w:rPr>
        <w:t>generally civil law]</w:t>
      </w:r>
    </w:p>
    <w:p w:rsidR="00661A72" w:rsidRPr="00661A72" w:rsidRDefault="00C66361" w:rsidP="00661A72">
      <w:pPr>
        <w:ind w:firstLine="708"/>
        <w:jc w:val="both"/>
        <w:rPr>
          <w:sz w:val="24"/>
          <w:szCs w:val="24"/>
          <w:lang w:val="en-US"/>
        </w:rPr>
      </w:pPr>
      <w:r>
        <w:rPr>
          <w:sz w:val="24"/>
          <w:szCs w:val="24"/>
          <w:lang w:val="en-US"/>
        </w:rPr>
        <w:t>T</w:t>
      </w:r>
      <w:r w:rsidR="00661A72" w:rsidRPr="00661A72">
        <w:rPr>
          <w:sz w:val="24"/>
          <w:szCs w:val="24"/>
          <w:lang w:val="en-US"/>
        </w:rPr>
        <w:t xml:space="preserve">here is by now a </w:t>
      </w:r>
      <w:proofErr w:type="gramStart"/>
      <w:r w:rsidR="00661A72" w:rsidRPr="00661A72">
        <w:rPr>
          <w:sz w:val="24"/>
          <w:szCs w:val="24"/>
          <w:lang w:val="en-US"/>
        </w:rPr>
        <w:t>fairly robust</w:t>
      </w:r>
      <w:proofErr w:type="gramEnd"/>
      <w:r w:rsidR="00661A72" w:rsidRPr="00661A72">
        <w:rPr>
          <w:sz w:val="24"/>
          <w:szCs w:val="24"/>
          <w:lang w:val="en-US"/>
        </w:rPr>
        <w:t xml:space="preserve"> literature on the adoption and expanding use of veil piercing in China, whose evolution may be indicating a broader trend towards </w:t>
      </w:r>
      <w:proofErr w:type="spellStart"/>
      <w:r w:rsidR="00661A72" w:rsidRPr="00661A72">
        <w:rPr>
          <w:sz w:val="24"/>
          <w:szCs w:val="24"/>
          <w:lang w:val="en-US"/>
        </w:rPr>
        <w:t>decorporatization</w:t>
      </w:r>
      <w:proofErr w:type="spellEnd"/>
      <w:r w:rsidR="00661A72" w:rsidRPr="00661A72">
        <w:rPr>
          <w:sz w:val="24"/>
          <w:szCs w:val="24"/>
          <w:lang w:val="en-US"/>
        </w:rPr>
        <w:t>. Prior to 2006, Chinese law did not formally recognize a doctrine of veil piercing. Although there were a few isolated cases of judicial application of the concept, scholars viewed the status quo as insufficient to curb abusive uses of legal personality to the detriment of corporate creditors.</w:t>
      </w:r>
      <w:r w:rsidR="00661A72" w:rsidRPr="00661A72">
        <w:rPr>
          <w:rStyle w:val="Refdenotaderodap"/>
          <w:sz w:val="24"/>
          <w:szCs w:val="24"/>
          <w:lang w:val="en-US"/>
        </w:rPr>
        <w:footnoteReference w:id="253"/>
      </w:r>
      <w:r w:rsidR="00661A72" w:rsidRPr="00661A72">
        <w:rPr>
          <w:sz w:val="24"/>
          <w:szCs w:val="24"/>
          <w:lang w:val="en-US"/>
        </w:rPr>
        <w:t xml:space="preserve"> </w:t>
      </w:r>
    </w:p>
    <w:p w:rsidR="00661A72" w:rsidRPr="00661A72" w:rsidRDefault="00661A72" w:rsidP="00661A72">
      <w:pPr>
        <w:ind w:firstLine="708"/>
        <w:jc w:val="both"/>
        <w:rPr>
          <w:sz w:val="24"/>
          <w:szCs w:val="24"/>
          <w:lang w:val="en-US"/>
        </w:rPr>
      </w:pPr>
      <w:r w:rsidRPr="00661A72">
        <w:rPr>
          <w:sz w:val="24"/>
          <w:szCs w:val="24"/>
          <w:lang w:val="en-US"/>
        </w:rPr>
        <w:t xml:space="preserve">As part </w:t>
      </w:r>
      <w:r w:rsidR="00B6799D">
        <w:rPr>
          <w:sz w:val="24"/>
          <w:szCs w:val="24"/>
          <w:lang w:val="en-US"/>
        </w:rPr>
        <w:t xml:space="preserve">of </w:t>
      </w:r>
      <w:r w:rsidRPr="00661A72">
        <w:rPr>
          <w:sz w:val="24"/>
          <w:szCs w:val="24"/>
          <w:lang w:val="en-US"/>
        </w:rPr>
        <w:t>its corporate law overhaul in 2006, China enacted specific statutory provisions on veil piercing for the first time. Article 20 of the Company Law provides for joint and several liability of shareholders in case of abuse of the independent status of the company that “seriously damages the interests of any creditors.” Moreover, Article 64 contains a specific rule for one-shareholder companies that reverses the burden of proof, making the single shareholder liable whenever he or she is unable to prove that the company’s property is independent from his or her property.</w:t>
      </w:r>
      <w:r w:rsidRPr="00661A72">
        <w:rPr>
          <w:rStyle w:val="Refdenotaderodap"/>
          <w:sz w:val="24"/>
          <w:szCs w:val="24"/>
          <w:lang w:val="en-US"/>
        </w:rPr>
        <w:footnoteReference w:id="254"/>
      </w:r>
      <w:r w:rsidRPr="00661A72">
        <w:rPr>
          <w:sz w:val="24"/>
          <w:szCs w:val="24"/>
          <w:lang w:val="en-US"/>
        </w:rPr>
        <w:t xml:space="preserve"> These provisions were allegedly the product of a political compromise that took into account the government’s hostility to veil piercing in view of its interest as a major shareholder in SOEs.</w:t>
      </w:r>
      <w:r w:rsidRPr="00661A72">
        <w:rPr>
          <w:rStyle w:val="Refdenotaderodap"/>
          <w:sz w:val="24"/>
          <w:szCs w:val="24"/>
          <w:lang w:val="en-US"/>
        </w:rPr>
        <w:footnoteReference w:id="255"/>
      </w:r>
      <w:r w:rsidRPr="00661A72">
        <w:rPr>
          <w:sz w:val="24"/>
          <w:szCs w:val="24"/>
          <w:lang w:val="en-US"/>
        </w:rPr>
        <w:t xml:space="preserve"> </w:t>
      </w:r>
    </w:p>
    <w:p w:rsidR="00661A72" w:rsidRPr="00661A72" w:rsidRDefault="00661A72" w:rsidP="00661A72">
      <w:pPr>
        <w:ind w:firstLine="708"/>
        <w:jc w:val="both"/>
        <w:rPr>
          <w:b/>
          <w:sz w:val="24"/>
          <w:szCs w:val="24"/>
          <w:lang w:val="en-US"/>
        </w:rPr>
      </w:pPr>
      <w:r w:rsidRPr="00661A72">
        <w:rPr>
          <w:sz w:val="24"/>
          <w:szCs w:val="24"/>
          <w:lang w:val="en-US"/>
        </w:rPr>
        <w:t xml:space="preserve">Since the 2006 reform, China has appeared to be far more prone to pierce the corporate veil than mature economies. In a study of judicial application of veil piercing between 2005, Hui Huang found 99 reported opinions on this area—a figure he describes as “remarkably high” from a comparative perspective—and a decision to </w:t>
      </w:r>
      <w:r w:rsidRPr="00661A72">
        <w:rPr>
          <w:sz w:val="24"/>
          <w:szCs w:val="24"/>
          <w:lang w:val="en-US"/>
        </w:rPr>
        <w:lastRenderedPageBreak/>
        <w:t>pierce the veil in nearly two-thirds of the cases.</w:t>
      </w:r>
      <w:r w:rsidRPr="00661A72">
        <w:rPr>
          <w:rStyle w:val="Refdenotaderodap"/>
          <w:sz w:val="24"/>
          <w:szCs w:val="24"/>
          <w:lang w:val="en-US"/>
        </w:rPr>
        <w:footnoteReference w:id="256"/>
      </w:r>
      <w:r w:rsidRPr="00661A72">
        <w:rPr>
          <w:sz w:val="24"/>
          <w:szCs w:val="24"/>
          <w:lang w:val="en-US"/>
        </w:rPr>
        <w:t xml:space="preserve"> A more recent study by Kimberly Bin Yu and Richard </w:t>
      </w:r>
      <w:proofErr w:type="spellStart"/>
      <w:r w:rsidRPr="00661A72">
        <w:rPr>
          <w:sz w:val="24"/>
          <w:szCs w:val="24"/>
          <w:lang w:val="en-US"/>
        </w:rPr>
        <w:t>Krever</w:t>
      </w:r>
      <w:proofErr w:type="spellEnd"/>
      <w:r w:rsidRPr="00661A72">
        <w:rPr>
          <w:sz w:val="24"/>
          <w:szCs w:val="24"/>
          <w:lang w:val="en-US"/>
        </w:rPr>
        <w:t xml:space="preserve"> showed that not only did the number of cases rise exponentially in the five years following Huang’s survey, but the success rate of creditors also increased significantly.</w:t>
      </w:r>
      <w:r w:rsidRPr="00661A72">
        <w:rPr>
          <w:rStyle w:val="Refdenotaderodap"/>
          <w:sz w:val="24"/>
          <w:szCs w:val="24"/>
          <w:lang w:val="en-US"/>
        </w:rPr>
        <w:footnoteReference w:id="257"/>
      </w:r>
      <w:r w:rsidRPr="00661A72">
        <w:rPr>
          <w:sz w:val="24"/>
          <w:szCs w:val="24"/>
          <w:lang w:val="en-US"/>
        </w:rPr>
        <w:t xml:space="preserve"> At least some of these decisions seem to take an expansive reading of the statute. While Art. 20 only seems to cover “vertical piercing” between the parent and subsidiaries, courts </w:t>
      </w:r>
      <w:proofErr w:type="gramStart"/>
      <w:r w:rsidRPr="00661A72">
        <w:rPr>
          <w:sz w:val="24"/>
          <w:szCs w:val="24"/>
          <w:lang w:val="en-US"/>
        </w:rPr>
        <w:t>have also</w:t>
      </w:r>
      <w:proofErr w:type="gramEnd"/>
      <w:r w:rsidRPr="00661A72">
        <w:rPr>
          <w:sz w:val="24"/>
          <w:szCs w:val="24"/>
          <w:lang w:val="en-US"/>
        </w:rPr>
        <w:t xml:space="preserve"> permitted “horizontal piercing” among companies under common control.</w:t>
      </w:r>
      <w:r w:rsidRPr="00661A72">
        <w:rPr>
          <w:rStyle w:val="Refdenotaderodap"/>
          <w:sz w:val="24"/>
          <w:szCs w:val="24"/>
          <w:lang w:val="en-US"/>
        </w:rPr>
        <w:footnoteReference w:id="258"/>
      </w:r>
    </w:p>
    <w:p w:rsidR="00661A72" w:rsidRDefault="00661A72" w:rsidP="00661A72">
      <w:pPr>
        <w:ind w:firstLine="708"/>
        <w:jc w:val="both"/>
        <w:rPr>
          <w:sz w:val="24"/>
          <w:szCs w:val="24"/>
          <w:lang w:val="en-US"/>
        </w:rPr>
      </w:pPr>
      <w:r w:rsidRPr="00661A72">
        <w:rPr>
          <w:sz w:val="24"/>
          <w:szCs w:val="24"/>
          <w:lang w:val="en-US"/>
        </w:rPr>
        <w:t xml:space="preserve">Commentators have offered numerous conjectures to explain the surprisingly high incidence </w:t>
      </w:r>
      <w:r w:rsidR="000B2D1C">
        <w:rPr>
          <w:sz w:val="24"/>
          <w:szCs w:val="24"/>
          <w:lang w:val="en-US"/>
        </w:rPr>
        <w:t xml:space="preserve">of </w:t>
      </w:r>
      <w:r w:rsidRPr="00661A72">
        <w:rPr>
          <w:sz w:val="24"/>
          <w:szCs w:val="24"/>
          <w:lang w:val="en-US"/>
        </w:rPr>
        <w:t>veil piercing in China. The explanations offered range from the lack of sophistication and paternalistic attitude on the part of Chinese judges to the particular wording of the statutory language shifting the burden of proof in the case of one-member companies.</w:t>
      </w:r>
      <w:r w:rsidRPr="00661A72">
        <w:rPr>
          <w:rStyle w:val="Refdenotaderodap"/>
          <w:sz w:val="24"/>
          <w:szCs w:val="24"/>
          <w:lang w:val="en-US"/>
        </w:rPr>
        <w:footnoteReference w:id="259"/>
      </w:r>
      <w:r w:rsidRPr="00661A72">
        <w:rPr>
          <w:sz w:val="24"/>
          <w:szCs w:val="24"/>
          <w:lang w:val="en-US"/>
        </w:rPr>
        <w:t xml:space="preserve"> These accounts, however, have failed to consider one of the central hypotheses advanced in this Article—namely, that the weakening of corporate attributes might be a second-best response to a deficient institutional environment. </w:t>
      </w:r>
    </w:p>
    <w:p w:rsidR="00DE5B52" w:rsidRPr="001A0338" w:rsidRDefault="00F02A12" w:rsidP="00F02A12">
      <w:pPr>
        <w:ind w:firstLine="708"/>
        <w:jc w:val="both"/>
        <w:rPr>
          <w:sz w:val="24"/>
          <w:szCs w:val="24"/>
          <w:lang w:val="en-US"/>
        </w:rPr>
      </w:pPr>
      <w:r>
        <w:rPr>
          <w:sz w:val="24"/>
          <w:szCs w:val="24"/>
          <w:lang w:val="en-US"/>
        </w:rPr>
        <w:t>Moreover, there is</w:t>
      </w:r>
      <w:r w:rsidR="003E119B">
        <w:rPr>
          <w:sz w:val="24"/>
          <w:szCs w:val="24"/>
          <w:lang w:val="en-US"/>
        </w:rPr>
        <w:t xml:space="preserve"> evidence that</w:t>
      </w:r>
      <w:r w:rsidR="00125991">
        <w:rPr>
          <w:sz w:val="24"/>
          <w:szCs w:val="24"/>
          <w:lang w:val="en-US"/>
        </w:rPr>
        <w:t xml:space="preserve"> the weakening of corporate attributes in China span beyond limited liability. </w:t>
      </w:r>
      <w:r w:rsidR="003E119B">
        <w:rPr>
          <w:sz w:val="24"/>
          <w:szCs w:val="24"/>
          <w:lang w:val="en-US"/>
        </w:rPr>
        <w:t xml:space="preserve">Curtis </w:t>
      </w:r>
      <w:proofErr w:type="spellStart"/>
      <w:r w:rsidR="003E119B">
        <w:rPr>
          <w:sz w:val="24"/>
          <w:szCs w:val="24"/>
          <w:lang w:val="en-US"/>
        </w:rPr>
        <w:t>Milhaupt</w:t>
      </w:r>
      <w:proofErr w:type="spellEnd"/>
      <w:r w:rsidR="003E119B">
        <w:rPr>
          <w:sz w:val="24"/>
          <w:szCs w:val="24"/>
          <w:lang w:val="en-US"/>
        </w:rPr>
        <w:t xml:space="preserve"> has showed that, at least with respect to the SOEs that dominate China’s economy, each of the corporate elements takes a modified and blander form</w:t>
      </w:r>
      <w:r w:rsidR="00993C7D">
        <w:rPr>
          <w:sz w:val="24"/>
          <w:szCs w:val="24"/>
          <w:lang w:val="en-US"/>
        </w:rPr>
        <w:t>—a phenomenon that he attributes to the “adaptability” of the</w:t>
      </w:r>
      <w:r>
        <w:rPr>
          <w:sz w:val="24"/>
          <w:szCs w:val="24"/>
          <w:lang w:val="en-US"/>
        </w:rPr>
        <w:t xml:space="preserve"> business corporation</w:t>
      </w:r>
      <w:r w:rsidR="003E119B">
        <w:rPr>
          <w:sz w:val="24"/>
          <w:szCs w:val="24"/>
          <w:lang w:val="en-US"/>
        </w:rPr>
        <w:t>.</w:t>
      </w:r>
      <w:r>
        <w:rPr>
          <w:rStyle w:val="Refdenotaderodap"/>
          <w:sz w:val="24"/>
          <w:szCs w:val="24"/>
          <w:lang w:val="en-US"/>
        </w:rPr>
        <w:footnoteReference w:id="260"/>
      </w:r>
      <w:r w:rsidR="003E119B">
        <w:rPr>
          <w:sz w:val="24"/>
          <w:szCs w:val="24"/>
          <w:lang w:val="en-US"/>
        </w:rPr>
        <w:t xml:space="preserve"> </w:t>
      </w:r>
      <w:r w:rsidR="00993C7D">
        <w:rPr>
          <w:sz w:val="24"/>
          <w:szCs w:val="24"/>
          <w:lang w:val="en-US"/>
        </w:rPr>
        <w:t xml:space="preserve">It also appears </w:t>
      </w:r>
      <w:r w:rsidR="004E7A54">
        <w:rPr>
          <w:sz w:val="24"/>
          <w:szCs w:val="24"/>
          <w:lang w:val="en-US"/>
        </w:rPr>
        <w:t>that some of the</w:t>
      </w:r>
      <w:r w:rsidR="003E119B">
        <w:rPr>
          <w:sz w:val="24"/>
          <w:szCs w:val="24"/>
          <w:lang w:val="en-US"/>
        </w:rPr>
        <w:t xml:space="preserve"> </w:t>
      </w:r>
      <w:r w:rsidR="004E7A54">
        <w:rPr>
          <w:sz w:val="24"/>
          <w:szCs w:val="24"/>
          <w:lang w:val="en-US"/>
        </w:rPr>
        <w:t>peculiar features of the Chinese system</w:t>
      </w:r>
      <w:r w:rsidR="003E119B">
        <w:rPr>
          <w:sz w:val="24"/>
          <w:szCs w:val="24"/>
          <w:lang w:val="en-US"/>
        </w:rPr>
        <w:t xml:space="preserve">—such as the </w:t>
      </w:r>
      <w:r>
        <w:rPr>
          <w:sz w:val="24"/>
          <w:szCs w:val="24"/>
          <w:lang w:val="en-US"/>
        </w:rPr>
        <w:t>role of the</w:t>
      </w:r>
      <w:r w:rsidR="003E119B">
        <w:rPr>
          <w:sz w:val="24"/>
          <w:szCs w:val="24"/>
          <w:lang w:val="en-US"/>
        </w:rPr>
        <w:t xml:space="preserve"> Chinese Communist Party </w:t>
      </w:r>
      <w:r>
        <w:rPr>
          <w:sz w:val="24"/>
          <w:szCs w:val="24"/>
          <w:lang w:val="en-US"/>
        </w:rPr>
        <w:t xml:space="preserve">in sidelining </w:t>
      </w:r>
      <w:r w:rsidR="003E119B">
        <w:rPr>
          <w:sz w:val="24"/>
          <w:szCs w:val="24"/>
          <w:lang w:val="en-US"/>
        </w:rPr>
        <w:t>the board of directors</w:t>
      </w:r>
      <w:r w:rsidR="00E457E5">
        <w:rPr>
          <w:rStyle w:val="Refdenotaderodap"/>
          <w:sz w:val="24"/>
          <w:szCs w:val="24"/>
          <w:lang w:val="en-US"/>
        </w:rPr>
        <w:footnoteReference w:id="261"/>
      </w:r>
      <w:r w:rsidR="003E119B">
        <w:rPr>
          <w:sz w:val="24"/>
          <w:szCs w:val="24"/>
          <w:lang w:val="en-US"/>
        </w:rPr>
        <w:t xml:space="preserve">—are </w:t>
      </w:r>
      <w:r w:rsidR="004E7A54">
        <w:rPr>
          <w:sz w:val="24"/>
          <w:szCs w:val="24"/>
          <w:lang w:val="en-US"/>
        </w:rPr>
        <w:t xml:space="preserve">not limited to the </w:t>
      </w:r>
      <w:r w:rsidR="004E7A54" w:rsidRPr="001A0338">
        <w:rPr>
          <w:sz w:val="24"/>
          <w:szCs w:val="24"/>
          <w:lang w:val="en-US"/>
        </w:rPr>
        <w:t>SOE context</w:t>
      </w:r>
      <w:r w:rsidR="00993C7D" w:rsidRPr="001A0338">
        <w:rPr>
          <w:sz w:val="24"/>
          <w:szCs w:val="24"/>
          <w:lang w:val="en-US"/>
        </w:rPr>
        <w:t>, but are present in private enterprises</w:t>
      </w:r>
      <w:r w:rsidR="00E457E5" w:rsidRPr="001A0338">
        <w:rPr>
          <w:sz w:val="24"/>
          <w:szCs w:val="24"/>
          <w:lang w:val="en-US"/>
        </w:rPr>
        <w:t xml:space="preserve"> as well. </w:t>
      </w:r>
      <w:r w:rsidRPr="001A0338">
        <w:rPr>
          <w:sz w:val="24"/>
          <w:szCs w:val="24"/>
          <w:lang w:val="en-US"/>
        </w:rPr>
        <w:t xml:space="preserve">In </w:t>
      </w:r>
      <w:proofErr w:type="spellStart"/>
      <w:r w:rsidRPr="001A0338">
        <w:rPr>
          <w:sz w:val="24"/>
          <w:szCs w:val="24"/>
          <w:lang w:val="en-US"/>
        </w:rPr>
        <w:t>Milhaupt’s</w:t>
      </w:r>
      <w:proofErr w:type="spellEnd"/>
      <w:r w:rsidRPr="001A0338">
        <w:rPr>
          <w:sz w:val="24"/>
          <w:szCs w:val="24"/>
          <w:lang w:val="en-US"/>
        </w:rPr>
        <w:t xml:space="preserve"> view, </w:t>
      </w:r>
      <w:r w:rsidR="001A0338" w:rsidRPr="001A0338">
        <w:rPr>
          <w:sz w:val="24"/>
          <w:szCs w:val="24"/>
          <w:lang w:val="en-US"/>
        </w:rPr>
        <w:t>the corporate form has “</w:t>
      </w:r>
      <w:r w:rsidRPr="001A0338">
        <w:rPr>
          <w:sz w:val="24"/>
          <w:szCs w:val="24"/>
          <w:lang w:val="en-US"/>
        </w:rPr>
        <w:t>a chameleon-like ability to take on the characteristics of the politic</w:t>
      </w:r>
      <w:r w:rsidR="001A0338" w:rsidRPr="001A0338">
        <w:rPr>
          <w:sz w:val="24"/>
          <w:szCs w:val="24"/>
          <w:lang w:val="en-US"/>
        </w:rPr>
        <w:t>al economy in which it operates.</w:t>
      </w:r>
      <w:r w:rsidRPr="001A0338">
        <w:rPr>
          <w:sz w:val="24"/>
          <w:szCs w:val="24"/>
          <w:lang w:val="en-US"/>
        </w:rPr>
        <w:t>”</w:t>
      </w:r>
      <w:r w:rsidR="001A0338">
        <w:rPr>
          <w:rStyle w:val="Refdenotaderodap"/>
          <w:sz w:val="24"/>
          <w:szCs w:val="24"/>
          <w:lang w:val="en-US"/>
        </w:rPr>
        <w:footnoteReference w:id="262"/>
      </w:r>
      <w:r w:rsidR="001A0338" w:rsidRPr="001A0338">
        <w:rPr>
          <w:sz w:val="24"/>
          <w:szCs w:val="24"/>
          <w:lang w:val="en-US"/>
        </w:rPr>
        <w:t xml:space="preserve"> </w:t>
      </w:r>
      <w:r w:rsidR="00B836A2">
        <w:rPr>
          <w:sz w:val="24"/>
          <w:szCs w:val="24"/>
          <w:lang w:val="en-US"/>
        </w:rPr>
        <w:t>This view, however, may lead one</w:t>
      </w:r>
      <w:r w:rsidR="000B2D1C">
        <w:rPr>
          <w:sz w:val="24"/>
          <w:szCs w:val="24"/>
          <w:lang w:val="en-US"/>
        </w:rPr>
        <w:t xml:space="preserve"> to underestimate the degree of divergence in the relevance of the corporate attributes. </w:t>
      </w:r>
      <w:proofErr w:type="gramStart"/>
      <w:r w:rsidR="000B2D1C">
        <w:rPr>
          <w:sz w:val="24"/>
          <w:szCs w:val="24"/>
          <w:lang w:val="en-US"/>
        </w:rPr>
        <w:t xml:space="preserve">It is possible that, at </w:t>
      </w:r>
      <w:r w:rsidR="001A0338">
        <w:rPr>
          <w:sz w:val="24"/>
          <w:szCs w:val="24"/>
          <w:lang w:val="en-US"/>
        </w:rPr>
        <w:t>some point along this</w:t>
      </w:r>
      <w:r w:rsidR="001A0338" w:rsidRPr="001A0338">
        <w:rPr>
          <w:sz w:val="24"/>
          <w:szCs w:val="24"/>
          <w:lang w:val="en-US"/>
        </w:rPr>
        <w:t xml:space="preserve"> </w:t>
      </w:r>
      <w:r w:rsidR="000B2D1C">
        <w:rPr>
          <w:sz w:val="24"/>
          <w:szCs w:val="24"/>
          <w:lang w:val="en-US"/>
        </w:rPr>
        <w:t>transformation to fit local features</w:t>
      </w:r>
      <w:r w:rsidR="001A0338">
        <w:rPr>
          <w:sz w:val="24"/>
          <w:szCs w:val="24"/>
          <w:lang w:val="en-US"/>
        </w:rPr>
        <w:t>,</w:t>
      </w:r>
      <w:r w:rsidR="001A0338" w:rsidRPr="001A0338">
        <w:rPr>
          <w:sz w:val="24"/>
          <w:szCs w:val="24"/>
          <w:lang w:val="en-US"/>
        </w:rPr>
        <w:t xml:space="preserve"> the organization in question may</w:t>
      </w:r>
      <w:proofErr w:type="gramEnd"/>
      <w:r w:rsidR="001A0338" w:rsidRPr="001A0338">
        <w:rPr>
          <w:sz w:val="24"/>
          <w:szCs w:val="24"/>
          <w:lang w:val="en-US"/>
        </w:rPr>
        <w:t xml:space="preserve"> no longer qualify as a business corporation, but instead become a different animal altogether. </w:t>
      </w:r>
    </w:p>
    <w:p w:rsidR="00661A72" w:rsidRDefault="00661A72" w:rsidP="00661A72">
      <w:pPr>
        <w:ind w:firstLine="708"/>
        <w:jc w:val="both"/>
        <w:rPr>
          <w:sz w:val="24"/>
          <w:szCs w:val="24"/>
          <w:lang w:val="en-US"/>
        </w:rPr>
      </w:pPr>
      <w:r w:rsidRPr="00661A72">
        <w:rPr>
          <w:sz w:val="24"/>
          <w:szCs w:val="24"/>
          <w:lang w:val="en-US"/>
        </w:rPr>
        <w:t xml:space="preserve">Ascertaining the existence and extent of </w:t>
      </w:r>
      <w:proofErr w:type="spellStart"/>
      <w:r w:rsidRPr="00661A72">
        <w:rPr>
          <w:sz w:val="24"/>
          <w:szCs w:val="24"/>
          <w:lang w:val="en-US"/>
        </w:rPr>
        <w:t>decorporatization</w:t>
      </w:r>
      <w:proofErr w:type="spellEnd"/>
      <w:r w:rsidRPr="00661A72">
        <w:rPr>
          <w:sz w:val="24"/>
          <w:szCs w:val="24"/>
          <w:lang w:val="en-US"/>
        </w:rPr>
        <w:t xml:space="preserve"> around the world, as well as its potential causes, will undoubtedly require future research. The claim advanced in this Article about the significant </w:t>
      </w:r>
      <w:r>
        <w:rPr>
          <w:sz w:val="24"/>
          <w:szCs w:val="24"/>
          <w:lang w:val="en-US"/>
        </w:rPr>
        <w:t xml:space="preserve">erosion of corporate attributes </w:t>
      </w:r>
      <w:r w:rsidRPr="00661A72">
        <w:rPr>
          <w:sz w:val="24"/>
          <w:szCs w:val="24"/>
          <w:lang w:val="en-US"/>
        </w:rPr>
        <w:t>i</w:t>
      </w:r>
      <w:r>
        <w:rPr>
          <w:sz w:val="24"/>
          <w:szCs w:val="24"/>
          <w:lang w:val="en-US"/>
        </w:rPr>
        <w:t xml:space="preserve">n Brazil is a novel one, and </w:t>
      </w:r>
      <w:proofErr w:type="gramStart"/>
      <w:r>
        <w:rPr>
          <w:sz w:val="24"/>
          <w:szCs w:val="24"/>
          <w:lang w:val="en-US"/>
        </w:rPr>
        <w:t>had</w:t>
      </w:r>
      <w:r w:rsidRPr="00661A72">
        <w:rPr>
          <w:sz w:val="24"/>
          <w:szCs w:val="24"/>
          <w:lang w:val="en-US"/>
        </w:rPr>
        <w:t xml:space="preserve"> not been documented</w:t>
      </w:r>
      <w:proofErr w:type="gramEnd"/>
      <w:r w:rsidRPr="00661A72">
        <w:rPr>
          <w:sz w:val="24"/>
          <w:szCs w:val="24"/>
          <w:lang w:val="en-US"/>
        </w:rPr>
        <w:t xml:space="preserve"> to date. Instead, the available descriptions of Brazil’s corporate law by both scholars and practitioners have failed to highlight its significant departure from international practice. Moreover, this is a </w:t>
      </w:r>
      <w:proofErr w:type="gramStart"/>
      <w:r w:rsidRPr="00661A72">
        <w:rPr>
          <w:sz w:val="24"/>
          <w:szCs w:val="24"/>
          <w:lang w:val="en-US"/>
        </w:rPr>
        <w:t>fairly recent</w:t>
      </w:r>
      <w:proofErr w:type="gramEnd"/>
      <w:r w:rsidRPr="00661A72">
        <w:rPr>
          <w:sz w:val="24"/>
          <w:szCs w:val="24"/>
          <w:lang w:val="en-US"/>
        </w:rPr>
        <w:t xml:space="preserve"> phenomenon, and one that may be only recently beginning to take hold elsewhere.</w:t>
      </w:r>
      <w:r w:rsidR="001A0338">
        <w:rPr>
          <w:sz w:val="24"/>
          <w:szCs w:val="24"/>
          <w:lang w:val="en-US"/>
        </w:rPr>
        <w:t xml:space="preserve"> </w:t>
      </w:r>
      <w:r w:rsidRPr="00661A72">
        <w:rPr>
          <w:sz w:val="24"/>
          <w:szCs w:val="24"/>
          <w:lang w:val="en-US"/>
        </w:rPr>
        <w:t xml:space="preserve">Any </w:t>
      </w:r>
      <w:r w:rsidRPr="00661A72">
        <w:rPr>
          <w:sz w:val="24"/>
          <w:szCs w:val="24"/>
          <w:lang w:val="en-US"/>
        </w:rPr>
        <w:lastRenderedPageBreak/>
        <w:t xml:space="preserve">verification of the incidence and degree of </w:t>
      </w:r>
      <w:proofErr w:type="spellStart"/>
      <w:r w:rsidRPr="00661A72">
        <w:rPr>
          <w:sz w:val="24"/>
          <w:szCs w:val="24"/>
          <w:lang w:val="en-US"/>
        </w:rPr>
        <w:t>decorporatization</w:t>
      </w:r>
      <w:proofErr w:type="spellEnd"/>
      <w:r w:rsidRPr="00661A72">
        <w:rPr>
          <w:sz w:val="24"/>
          <w:szCs w:val="24"/>
          <w:lang w:val="en-US"/>
        </w:rPr>
        <w:t xml:space="preserve"> in other contexts will require scholars to scratch beyond the surface of textbook accounts—a type of analysis that demands dedicated country studies. </w:t>
      </w:r>
    </w:p>
    <w:p w:rsidR="00203C42" w:rsidRDefault="00661A72" w:rsidP="0061219C">
      <w:pPr>
        <w:keepNext/>
        <w:jc w:val="both"/>
        <w:rPr>
          <w:b/>
          <w:sz w:val="24"/>
          <w:szCs w:val="24"/>
          <w:lang w:val="en-US"/>
        </w:rPr>
      </w:pPr>
      <w:r>
        <w:rPr>
          <w:b/>
          <w:sz w:val="24"/>
          <w:szCs w:val="24"/>
          <w:lang w:val="en-US"/>
        </w:rPr>
        <w:t>IV.</w:t>
      </w:r>
      <w:r>
        <w:rPr>
          <w:b/>
          <w:sz w:val="24"/>
          <w:szCs w:val="24"/>
          <w:lang w:val="en-US"/>
        </w:rPr>
        <w:tab/>
      </w:r>
      <w:r w:rsidR="00A914D2">
        <w:rPr>
          <w:b/>
          <w:sz w:val="24"/>
          <w:szCs w:val="24"/>
          <w:lang w:val="en-US"/>
        </w:rPr>
        <w:t>Conclusion</w:t>
      </w:r>
    </w:p>
    <w:p w:rsidR="0040593D" w:rsidRDefault="00631973" w:rsidP="00631973">
      <w:pPr>
        <w:jc w:val="both"/>
        <w:rPr>
          <w:sz w:val="24"/>
          <w:szCs w:val="24"/>
          <w:lang w:val="en-US"/>
        </w:rPr>
      </w:pPr>
      <w:r>
        <w:rPr>
          <w:b/>
          <w:sz w:val="24"/>
          <w:szCs w:val="24"/>
          <w:lang w:val="en-US"/>
        </w:rPr>
        <w:tab/>
      </w:r>
      <w:r>
        <w:rPr>
          <w:sz w:val="24"/>
          <w:szCs w:val="24"/>
          <w:lang w:val="en-US"/>
        </w:rPr>
        <w:t xml:space="preserve">The conventional understanding is that the history of the corporate form is one of acclaimed success, as well as continued and inevitable expansion to different contexts. Once restricted by the government, the corporate attributes </w:t>
      </w:r>
      <w:proofErr w:type="gramStart"/>
      <w:r>
        <w:rPr>
          <w:sz w:val="24"/>
          <w:szCs w:val="24"/>
          <w:lang w:val="en-US"/>
        </w:rPr>
        <w:t>are deemed</w:t>
      </w:r>
      <w:proofErr w:type="gramEnd"/>
      <w:r>
        <w:rPr>
          <w:sz w:val="24"/>
          <w:szCs w:val="24"/>
          <w:lang w:val="en-US"/>
        </w:rPr>
        <w:t xml:space="preserve"> </w:t>
      </w:r>
      <w:r w:rsidR="0040593D">
        <w:rPr>
          <w:sz w:val="24"/>
          <w:szCs w:val="24"/>
          <w:lang w:val="en-US"/>
        </w:rPr>
        <w:t>ever</w:t>
      </w:r>
      <w:r>
        <w:rPr>
          <w:sz w:val="24"/>
          <w:szCs w:val="24"/>
          <w:lang w:val="en-US"/>
        </w:rPr>
        <w:t xml:space="preserve"> more widely available, irrespective of old constraints such as corporate taxation or accompanying mandatory terms. </w:t>
      </w:r>
      <w:r w:rsidR="00052396">
        <w:rPr>
          <w:sz w:val="24"/>
          <w:szCs w:val="24"/>
          <w:lang w:val="en-US"/>
        </w:rPr>
        <w:t xml:space="preserve">Contemporary </w:t>
      </w:r>
      <w:r w:rsidR="0040593D">
        <w:rPr>
          <w:sz w:val="24"/>
          <w:szCs w:val="24"/>
          <w:lang w:val="en-US"/>
        </w:rPr>
        <w:t>Brazilian law, however, shows a certain degree of involution, and is therefore quite subversive to these understandings.</w:t>
      </w:r>
    </w:p>
    <w:p w:rsidR="00631973" w:rsidRPr="001C3654" w:rsidRDefault="00631973" w:rsidP="00B836A2">
      <w:pPr>
        <w:ind w:firstLine="708"/>
        <w:jc w:val="both"/>
        <w:rPr>
          <w:sz w:val="24"/>
          <w:szCs w:val="24"/>
          <w:lang w:val="en-US"/>
        </w:rPr>
      </w:pPr>
      <w:r>
        <w:rPr>
          <w:sz w:val="24"/>
          <w:szCs w:val="24"/>
          <w:lang w:val="en-US"/>
        </w:rPr>
        <w:t xml:space="preserve">Although scholars have mounted theoretical challenges against the expansive application of certain corporate elements, most conspicuously limited liability, these critiques </w:t>
      </w:r>
      <w:proofErr w:type="gramStart"/>
      <w:r>
        <w:rPr>
          <w:sz w:val="24"/>
          <w:szCs w:val="24"/>
          <w:lang w:val="en-US"/>
        </w:rPr>
        <w:t>are generally dismissed</w:t>
      </w:r>
      <w:proofErr w:type="gramEnd"/>
      <w:r>
        <w:rPr>
          <w:sz w:val="24"/>
          <w:szCs w:val="24"/>
          <w:lang w:val="en-US"/>
        </w:rPr>
        <w:t xml:space="preserve"> as impractical exercises of institutional imagination that stand no chance of actual implementation. </w:t>
      </w:r>
      <w:r w:rsidR="0040593D">
        <w:rPr>
          <w:sz w:val="24"/>
          <w:szCs w:val="24"/>
          <w:lang w:val="en-US"/>
        </w:rPr>
        <w:t>Yet t</w:t>
      </w:r>
      <w:r>
        <w:rPr>
          <w:sz w:val="24"/>
          <w:szCs w:val="24"/>
          <w:lang w:val="en-US"/>
        </w:rPr>
        <w:t xml:space="preserve">he recent Brazilian experience gives pause to the inevitability of the business corporation’s </w:t>
      </w:r>
      <w:r w:rsidR="00B20DBB">
        <w:rPr>
          <w:sz w:val="24"/>
          <w:szCs w:val="24"/>
          <w:lang w:val="en-US"/>
        </w:rPr>
        <w:t>core traits</w:t>
      </w:r>
      <w:r>
        <w:rPr>
          <w:sz w:val="24"/>
          <w:szCs w:val="24"/>
          <w:lang w:val="en-US"/>
        </w:rPr>
        <w:t xml:space="preserve">. Through a series of judicial decisions and statutes, Brazilian law has significantly weakened the canonical corporate elements. </w:t>
      </w:r>
      <w:r w:rsidR="00126394">
        <w:rPr>
          <w:sz w:val="24"/>
          <w:szCs w:val="24"/>
          <w:lang w:val="en-US"/>
        </w:rPr>
        <w:t>As a result</w:t>
      </w:r>
      <w:r w:rsidR="00906B98">
        <w:rPr>
          <w:sz w:val="24"/>
          <w:szCs w:val="24"/>
          <w:lang w:val="en-US"/>
        </w:rPr>
        <w:t>,</w:t>
      </w:r>
      <w:r>
        <w:rPr>
          <w:sz w:val="24"/>
          <w:szCs w:val="24"/>
          <w:lang w:val="en-US"/>
        </w:rPr>
        <w:t xml:space="preserve"> the strong version of the corporate form, which is </w:t>
      </w:r>
      <w:r w:rsidRPr="001C3654">
        <w:rPr>
          <w:sz w:val="24"/>
          <w:szCs w:val="24"/>
          <w:lang w:val="en-US"/>
        </w:rPr>
        <w:t xml:space="preserve">generally assumed </w:t>
      </w:r>
      <w:proofErr w:type="gramStart"/>
      <w:r w:rsidR="009071FC" w:rsidRPr="001C3654">
        <w:rPr>
          <w:sz w:val="24"/>
          <w:szCs w:val="24"/>
          <w:lang w:val="en-US"/>
        </w:rPr>
        <w:t>to be</w:t>
      </w:r>
      <w:r w:rsidRPr="001C3654">
        <w:rPr>
          <w:sz w:val="24"/>
          <w:szCs w:val="24"/>
          <w:lang w:val="en-US"/>
        </w:rPr>
        <w:t xml:space="preserve"> universal</w:t>
      </w:r>
      <w:proofErr w:type="gramEnd"/>
      <w:r w:rsidRPr="001C3654">
        <w:rPr>
          <w:sz w:val="24"/>
          <w:szCs w:val="24"/>
          <w:lang w:val="en-US"/>
        </w:rPr>
        <w:t xml:space="preserve">, is no longer available </w:t>
      </w:r>
      <w:r w:rsidR="00745295" w:rsidRPr="001C3654">
        <w:rPr>
          <w:sz w:val="24"/>
          <w:szCs w:val="24"/>
          <w:lang w:val="en-US"/>
        </w:rPr>
        <w:t xml:space="preserve">under Brazilian law. </w:t>
      </w:r>
      <w:r w:rsidR="00B836A2">
        <w:rPr>
          <w:sz w:val="24"/>
          <w:szCs w:val="24"/>
          <w:lang w:val="en-US"/>
        </w:rPr>
        <w:t xml:space="preserve"> Although t</w:t>
      </w:r>
      <w:r w:rsidRPr="001C3654">
        <w:rPr>
          <w:sz w:val="24"/>
          <w:szCs w:val="24"/>
          <w:lang w:val="en-US"/>
        </w:rPr>
        <w:t xml:space="preserve">he roots </w:t>
      </w:r>
      <w:r w:rsidR="00745295" w:rsidRPr="001C3654">
        <w:rPr>
          <w:sz w:val="24"/>
          <w:szCs w:val="24"/>
          <w:lang w:val="en-US"/>
        </w:rPr>
        <w:t>of</w:t>
      </w:r>
      <w:r w:rsidRPr="001C3654">
        <w:rPr>
          <w:sz w:val="24"/>
          <w:szCs w:val="24"/>
          <w:lang w:val="en-US"/>
        </w:rPr>
        <w:t xml:space="preserve"> </w:t>
      </w:r>
      <w:r w:rsidR="009071FC" w:rsidRPr="001C3654">
        <w:rPr>
          <w:sz w:val="24"/>
          <w:szCs w:val="24"/>
          <w:lang w:val="en-US"/>
        </w:rPr>
        <w:t xml:space="preserve">the observed </w:t>
      </w:r>
      <w:proofErr w:type="spellStart"/>
      <w:r w:rsidRPr="001C3654">
        <w:rPr>
          <w:sz w:val="24"/>
          <w:szCs w:val="24"/>
          <w:lang w:val="en-US"/>
        </w:rPr>
        <w:t>decorporatization</w:t>
      </w:r>
      <w:proofErr w:type="spellEnd"/>
      <w:r w:rsidRPr="001C3654">
        <w:rPr>
          <w:sz w:val="24"/>
          <w:szCs w:val="24"/>
          <w:lang w:val="en-US"/>
        </w:rPr>
        <w:t xml:space="preserve"> of Brazilian enterprise are unlikely to</w:t>
      </w:r>
      <w:r w:rsidR="00B836A2">
        <w:rPr>
          <w:sz w:val="24"/>
          <w:szCs w:val="24"/>
          <w:lang w:val="en-US"/>
        </w:rPr>
        <w:t xml:space="preserve"> be </w:t>
      </w:r>
      <w:proofErr w:type="spellStart"/>
      <w:r w:rsidR="00B836A2">
        <w:rPr>
          <w:sz w:val="24"/>
          <w:szCs w:val="24"/>
          <w:lang w:val="en-US"/>
        </w:rPr>
        <w:t>monocausal</w:t>
      </w:r>
      <w:proofErr w:type="spellEnd"/>
      <w:r w:rsidR="00B836A2">
        <w:rPr>
          <w:sz w:val="24"/>
          <w:szCs w:val="24"/>
          <w:lang w:val="en-US"/>
        </w:rPr>
        <w:t xml:space="preserve">, there is surprisingly </w:t>
      </w:r>
      <w:r w:rsidRPr="001C3654">
        <w:rPr>
          <w:sz w:val="24"/>
          <w:szCs w:val="24"/>
          <w:lang w:val="en-US"/>
        </w:rPr>
        <w:t xml:space="preserve">an efficiency case for most—though by no means all—of these new doctrinal developments. </w:t>
      </w:r>
      <w:r w:rsidR="00D828DA">
        <w:rPr>
          <w:sz w:val="24"/>
          <w:szCs w:val="24"/>
          <w:lang w:val="en-US"/>
        </w:rPr>
        <w:t xml:space="preserve">As with most things, the efficiency of the corporate form may be contingent on the underlying institutional environment. </w:t>
      </w:r>
    </w:p>
    <w:p w:rsidR="00631973" w:rsidRPr="001C3654" w:rsidRDefault="00631973" w:rsidP="00631973">
      <w:pPr>
        <w:jc w:val="both"/>
        <w:rPr>
          <w:sz w:val="24"/>
          <w:szCs w:val="24"/>
          <w:lang w:val="en-US"/>
        </w:rPr>
      </w:pPr>
      <w:r w:rsidRPr="001C3654">
        <w:rPr>
          <w:sz w:val="24"/>
          <w:szCs w:val="24"/>
          <w:lang w:val="en-US"/>
        </w:rPr>
        <w:tab/>
      </w:r>
      <w:r w:rsidR="00261B7A" w:rsidRPr="001C3654">
        <w:rPr>
          <w:sz w:val="24"/>
          <w:szCs w:val="24"/>
          <w:lang w:val="en-US"/>
        </w:rPr>
        <w:t xml:space="preserve">At any rate, </w:t>
      </w:r>
      <w:r w:rsidRPr="001C3654">
        <w:rPr>
          <w:sz w:val="24"/>
          <w:szCs w:val="24"/>
          <w:lang w:val="en-US"/>
        </w:rPr>
        <w:t xml:space="preserve">Brazil’s experiment with </w:t>
      </w:r>
      <w:proofErr w:type="spellStart"/>
      <w:r w:rsidRPr="001C3654">
        <w:rPr>
          <w:sz w:val="24"/>
          <w:szCs w:val="24"/>
          <w:lang w:val="en-US"/>
        </w:rPr>
        <w:t>decorporatization</w:t>
      </w:r>
      <w:proofErr w:type="spellEnd"/>
      <w:r w:rsidRPr="001C3654">
        <w:rPr>
          <w:sz w:val="24"/>
          <w:szCs w:val="24"/>
          <w:lang w:val="en-US"/>
        </w:rPr>
        <w:t xml:space="preserve"> points to new directions in comparative law and economics. </w:t>
      </w:r>
      <w:r w:rsidR="00B84522" w:rsidRPr="001C3654">
        <w:rPr>
          <w:sz w:val="24"/>
          <w:szCs w:val="24"/>
          <w:lang w:val="en-US"/>
        </w:rPr>
        <w:t>T</w:t>
      </w:r>
      <w:r w:rsidR="00A90C48" w:rsidRPr="001C3654">
        <w:rPr>
          <w:sz w:val="24"/>
          <w:szCs w:val="24"/>
          <w:lang w:val="en-US"/>
        </w:rPr>
        <w:t xml:space="preserve">he </w:t>
      </w:r>
      <w:r w:rsidR="005F2224" w:rsidRPr="001C3654">
        <w:rPr>
          <w:sz w:val="24"/>
          <w:szCs w:val="24"/>
          <w:lang w:val="en-US"/>
        </w:rPr>
        <w:t>enduring</w:t>
      </w:r>
      <w:r w:rsidR="002E0F39" w:rsidRPr="001C3654">
        <w:rPr>
          <w:sz w:val="24"/>
          <w:szCs w:val="24"/>
          <w:lang w:val="en-US"/>
        </w:rPr>
        <w:t xml:space="preserve"> </w:t>
      </w:r>
      <w:r w:rsidR="00A90C48" w:rsidRPr="001C3654">
        <w:rPr>
          <w:sz w:val="24"/>
          <w:szCs w:val="24"/>
          <w:lang w:val="en-US"/>
        </w:rPr>
        <w:t xml:space="preserve">debate on the degree of convergence and persistence in corporate governance assumes either the approximation of legal systems or the conservation of deep-rooted differences. </w:t>
      </w:r>
      <w:r w:rsidRPr="001C3654">
        <w:rPr>
          <w:sz w:val="24"/>
          <w:szCs w:val="24"/>
          <w:lang w:val="en-US"/>
        </w:rPr>
        <w:t>Most analyses of legal developments</w:t>
      </w:r>
      <w:r w:rsidR="00F53413" w:rsidRPr="001C3654">
        <w:rPr>
          <w:sz w:val="24"/>
          <w:szCs w:val="24"/>
          <w:lang w:val="en-US"/>
        </w:rPr>
        <w:t xml:space="preserve"> in emerging economies focus on</w:t>
      </w:r>
      <w:r w:rsidRPr="001C3654">
        <w:rPr>
          <w:sz w:val="24"/>
          <w:szCs w:val="24"/>
          <w:lang w:val="en-US"/>
        </w:rPr>
        <w:t xml:space="preserve"> foreign transplants</w:t>
      </w:r>
      <w:r w:rsidR="009D3734" w:rsidRPr="001C3654">
        <w:rPr>
          <w:sz w:val="24"/>
          <w:szCs w:val="24"/>
          <w:lang w:val="en-US"/>
        </w:rPr>
        <w:t xml:space="preserve"> from mature economies</w:t>
      </w:r>
      <w:r w:rsidRPr="001C3654">
        <w:rPr>
          <w:sz w:val="24"/>
          <w:szCs w:val="24"/>
          <w:lang w:val="en-US"/>
        </w:rPr>
        <w:t xml:space="preserve">, greatly discounting the degree of local ingenuity and originality. The prospect of </w:t>
      </w:r>
      <w:proofErr w:type="gramStart"/>
      <w:r w:rsidRPr="001C3654">
        <w:rPr>
          <w:sz w:val="24"/>
          <w:szCs w:val="24"/>
          <w:lang w:val="en-US"/>
        </w:rPr>
        <w:t>newly-</w:t>
      </w:r>
      <w:r w:rsidR="00A90C48" w:rsidRPr="001C3654">
        <w:rPr>
          <w:sz w:val="24"/>
          <w:szCs w:val="24"/>
          <w:lang w:val="en-US"/>
        </w:rPr>
        <w:t>minted</w:t>
      </w:r>
      <w:proofErr w:type="gramEnd"/>
      <w:r w:rsidR="00A90C48" w:rsidRPr="001C3654">
        <w:rPr>
          <w:sz w:val="24"/>
          <w:szCs w:val="24"/>
          <w:lang w:val="en-US"/>
        </w:rPr>
        <w:t xml:space="preserve"> divergence, originating in developing countries, </w:t>
      </w:r>
      <w:r w:rsidRPr="001C3654">
        <w:rPr>
          <w:sz w:val="24"/>
          <w:szCs w:val="24"/>
          <w:lang w:val="en-US"/>
        </w:rPr>
        <w:t xml:space="preserve">is generally left out of the picture. </w:t>
      </w:r>
      <w:r w:rsidR="002E0F39" w:rsidRPr="001C3654">
        <w:rPr>
          <w:sz w:val="24"/>
          <w:szCs w:val="24"/>
          <w:lang w:val="en-US"/>
        </w:rPr>
        <w:t>Finally, comparative corporate governance has focused on the content of corporate law, discounting differences in the strength and operation of the corporate form itself</w:t>
      </w:r>
      <w:r w:rsidR="00A22ACC" w:rsidRPr="001C3654">
        <w:rPr>
          <w:sz w:val="24"/>
          <w:szCs w:val="24"/>
          <w:lang w:val="en-US"/>
        </w:rPr>
        <w:t>, which may be far more substantial than usually acknowledged</w:t>
      </w:r>
      <w:r w:rsidR="002E0F39" w:rsidRPr="001C3654">
        <w:rPr>
          <w:sz w:val="24"/>
          <w:szCs w:val="24"/>
          <w:lang w:val="en-US"/>
        </w:rPr>
        <w:t>.</w:t>
      </w:r>
    </w:p>
    <w:p w:rsidR="00631973" w:rsidRPr="001C3654" w:rsidRDefault="00631973" w:rsidP="00631973">
      <w:pPr>
        <w:jc w:val="both"/>
        <w:rPr>
          <w:sz w:val="24"/>
          <w:szCs w:val="24"/>
          <w:lang w:val="en-US"/>
        </w:rPr>
      </w:pPr>
      <w:r w:rsidRPr="001C3654">
        <w:rPr>
          <w:sz w:val="24"/>
          <w:szCs w:val="24"/>
          <w:lang w:val="en-US"/>
        </w:rPr>
        <w:tab/>
        <w:t xml:space="preserve">For better </w:t>
      </w:r>
      <w:r w:rsidR="00B84522" w:rsidRPr="001C3654">
        <w:rPr>
          <w:sz w:val="24"/>
          <w:szCs w:val="24"/>
          <w:lang w:val="en-US"/>
        </w:rPr>
        <w:t xml:space="preserve">or </w:t>
      </w:r>
      <w:r w:rsidRPr="001C3654">
        <w:rPr>
          <w:sz w:val="24"/>
          <w:szCs w:val="24"/>
          <w:lang w:val="en-US"/>
        </w:rPr>
        <w:t xml:space="preserve">worse, the </w:t>
      </w:r>
      <w:r w:rsidR="00B80770" w:rsidRPr="001C3654">
        <w:rPr>
          <w:sz w:val="24"/>
          <w:szCs w:val="24"/>
          <w:lang w:val="en-US"/>
        </w:rPr>
        <w:t>persistence</w:t>
      </w:r>
      <w:r w:rsidRPr="001C3654">
        <w:rPr>
          <w:sz w:val="24"/>
          <w:szCs w:val="24"/>
          <w:lang w:val="en-US"/>
        </w:rPr>
        <w:t xml:space="preserve"> of the corpor</w:t>
      </w:r>
      <w:r w:rsidR="00A26E0A" w:rsidRPr="001C3654">
        <w:rPr>
          <w:sz w:val="24"/>
          <w:szCs w:val="24"/>
          <w:lang w:val="en-US"/>
        </w:rPr>
        <w:t xml:space="preserve">ate form </w:t>
      </w:r>
      <w:r w:rsidR="00052396" w:rsidRPr="001C3654">
        <w:rPr>
          <w:sz w:val="24"/>
          <w:szCs w:val="24"/>
          <w:lang w:val="en-US"/>
        </w:rPr>
        <w:t>does not seem to be</w:t>
      </w:r>
      <w:r w:rsidR="00B80770" w:rsidRPr="001C3654">
        <w:rPr>
          <w:sz w:val="24"/>
          <w:szCs w:val="24"/>
          <w:lang w:val="en-US"/>
        </w:rPr>
        <w:t xml:space="preserve"> inexorable</w:t>
      </w:r>
      <w:r w:rsidR="00A26E0A" w:rsidRPr="001C3654">
        <w:rPr>
          <w:sz w:val="24"/>
          <w:szCs w:val="24"/>
          <w:lang w:val="en-US"/>
        </w:rPr>
        <w:t xml:space="preserve">. </w:t>
      </w:r>
      <w:r w:rsidRPr="001C3654">
        <w:rPr>
          <w:sz w:val="24"/>
          <w:szCs w:val="24"/>
          <w:lang w:val="en-US"/>
        </w:rPr>
        <w:t>Brazil’s U-turn shows that its history has not ended, which makes the case for reflecting</w:t>
      </w:r>
      <w:r w:rsidR="000D6B8F" w:rsidRPr="001C3654">
        <w:rPr>
          <w:sz w:val="24"/>
          <w:szCs w:val="24"/>
          <w:lang w:val="en-US"/>
        </w:rPr>
        <w:t xml:space="preserve"> on</w:t>
      </w:r>
      <w:r w:rsidRPr="001C3654">
        <w:rPr>
          <w:sz w:val="24"/>
          <w:szCs w:val="24"/>
          <w:lang w:val="en-US"/>
        </w:rPr>
        <w:t xml:space="preserve"> the merits of corporate a</w:t>
      </w:r>
      <w:r w:rsidR="000D0D6A" w:rsidRPr="001C3654">
        <w:rPr>
          <w:sz w:val="24"/>
          <w:szCs w:val="24"/>
          <w:lang w:val="en-US"/>
        </w:rPr>
        <w:t>ttributes all the more pressing</w:t>
      </w:r>
      <w:r w:rsidRPr="001C3654">
        <w:rPr>
          <w:sz w:val="24"/>
          <w:szCs w:val="24"/>
          <w:lang w:val="en-US"/>
        </w:rPr>
        <w:t xml:space="preserve">. Fortunately, these changes provide an interesting, but thus far </w:t>
      </w:r>
      <w:r w:rsidR="002826B9" w:rsidRPr="001C3654">
        <w:rPr>
          <w:sz w:val="24"/>
          <w:szCs w:val="24"/>
          <w:lang w:val="en-US"/>
        </w:rPr>
        <w:t>under</w:t>
      </w:r>
      <w:r w:rsidRPr="001C3654">
        <w:rPr>
          <w:sz w:val="24"/>
          <w:szCs w:val="24"/>
          <w:lang w:val="en-US"/>
        </w:rPr>
        <w:t xml:space="preserve">utilized, laboratory </w:t>
      </w:r>
      <w:r w:rsidR="000D6B8F" w:rsidRPr="001C3654">
        <w:rPr>
          <w:sz w:val="24"/>
          <w:szCs w:val="24"/>
          <w:lang w:val="en-US"/>
        </w:rPr>
        <w:t>for such purpose</w:t>
      </w:r>
      <w:r w:rsidR="00052396" w:rsidRPr="001C3654">
        <w:rPr>
          <w:sz w:val="24"/>
          <w:szCs w:val="24"/>
          <w:lang w:val="en-US"/>
        </w:rPr>
        <w:t>s</w:t>
      </w:r>
      <w:r w:rsidRPr="001C3654">
        <w:rPr>
          <w:sz w:val="24"/>
          <w:szCs w:val="24"/>
          <w:lang w:val="en-US"/>
        </w:rPr>
        <w:t xml:space="preserve">.   </w:t>
      </w:r>
    </w:p>
    <w:p w:rsidR="00F01168" w:rsidRPr="00906B98" w:rsidRDefault="00F01168" w:rsidP="00906B98">
      <w:pPr>
        <w:jc w:val="center"/>
        <w:rPr>
          <w:b/>
          <w:sz w:val="24"/>
          <w:szCs w:val="24"/>
          <w:lang w:val="en-US"/>
        </w:rPr>
      </w:pPr>
    </w:p>
    <w:sectPr w:rsidR="00F01168" w:rsidRPr="00906B98" w:rsidSect="008D5F17">
      <w:footerReference w:type="default" r:id="rId8"/>
      <w:headerReference w:type="first" r:id="rId9"/>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8B3" w:rsidRDefault="001008B3" w:rsidP="00F54CF9">
      <w:pPr>
        <w:spacing w:after="0" w:line="240" w:lineRule="auto"/>
      </w:pPr>
      <w:r>
        <w:separator/>
      </w:r>
    </w:p>
  </w:endnote>
  <w:endnote w:type="continuationSeparator" w:id="0">
    <w:p w:rsidR="001008B3" w:rsidRDefault="001008B3" w:rsidP="00F5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aleDesig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67596"/>
      <w:docPartObj>
        <w:docPartGallery w:val="Page Numbers (Bottom of Page)"/>
        <w:docPartUnique/>
      </w:docPartObj>
    </w:sdtPr>
    <w:sdtContent>
      <w:p w:rsidR="000373FF" w:rsidRDefault="000373FF">
        <w:pPr>
          <w:pStyle w:val="Rodap"/>
          <w:jc w:val="right"/>
        </w:pPr>
        <w:r>
          <w:fldChar w:fldCharType="begin"/>
        </w:r>
        <w:r>
          <w:instrText>PAGE   \* MERGEFORMAT</w:instrText>
        </w:r>
        <w:r>
          <w:fldChar w:fldCharType="separate"/>
        </w:r>
        <w:r w:rsidR="006A437E">
          <w:rPr>
            <w:noProof/>
          </w:rPr>
          <w:t>46</w:t>
        </w:r>
        <w:r>
          <w:rPr>
            <w:noProof/>
          </w:rPr>
          <w:fldChar w:fldCharType="end"/>
        </w:r>
      </w:p>
    </w:sdtContent>
  </w:sdt>
  <w:p w:rsidR="000373FF" w:rsidRDefault="000373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8B3" w:rsidRDefault="001008B3" w:rsidP="00F54CF9">
      <w:pPr>
        <w:spacing w:after="0" w:line="240" w:lineRule="auto"/>
      </w:pPr>
      <w:r>
        <w:separator/>
      </w:r>
    </w:p>
  </w:footnote>
  <w:footnote w:type="continuationSeparator" w:id="0">
    <w:p w:rsidR="001008B3" w:rsidRDefault="001008B3" w:rsidP="00F54CF9">
      <w:pPr>
        <w:spacing w:after="0" w:line="240" w:lineRule="auto"/>
      </w:pPr>
      <w:r>
        <w:continuationSeparator/>
      </w:r>
    </w:p>
  </w:footnote>
  <w:footnote w:id="1">
    <w:p w:rsidR="000373FF" w:rsidRDefault="000373FF" w:rsidP="00F02A12">
      <w:pPr>
        <w:pStyle w:val="Textodenotaderodap"/>
        <w:jc w:val="both"/>
        <w:rPr>
          <w:rFonts w:cs="Times New Roman"/>
          <w:sz w:val="20"/>
          <w:szCs w:val="20"/>
        </w:rPr>
      </w:pPr>
      <w:r>
        <w:rPr>
          <w:rFonts w:cs="Times New Roman"/>
          <w:sz w:val="20"/>
          <w:szCs w:val="20"/>
        </w:rPr>
        <w:t xml:space="preserve">* Professor of Law, Fundação Getulio Vargas School of Law in São Paulo (FGV </w:t>
      </w:r>
      <w:proofErr w:type="spellStart"/>
      <w:r>
        <w:rPr>
          <w:rFonts w:cs="Times New Roman"/>
          <w:sz w:val="20"/>
          <w:szCs w:val="20"/>
        </w:rPr>
        <w:t>Direito</w:t>
      </w:r>
      <w:proofErr w:type="spellEnd"/>
      <w:r>
        <w:rPr>
          <w:rFonts w:cs="Times New Roman"/>
          <w:sz w:val="20"/>
          <w:szCs w:val="20"/>
        </w:rPr>
        <w:t xml:space="preserve"> SP); Global Professor of Law, New York University School of Law. </w:t>
      </w:r>
    </w:p>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John </w:t>
      </w:r>
      <w:proofErr w:type="spellStart"/>
      <w:r w:rsidRPr="00F02A12">
        <w:rPr>
          <w:rFonts w:cs="Times New Roman"/>
          <w:sz w:val="20"/>
          <w:szCs w:val="20"/>
        </w:rPr>
        <w:t>Armour</w:t>
      </w:r>
      <w:proofErr w:type="spellEnd"/>
      <w:r w:rsidRPr="00F02A12">
        <w:rPr>
          <w:rFonts w:cs="Times New Roman"/>
          <w:sz w:val="20"/>
          <w:szCs w:val="20"/>
        </w:rPr>
        <w:t xml:space="preserve">, Henry </w:t>
      </w:r>
      <w:proofErr w:type="spellStart"/>
      <w:r w:rsidRPr="00F02A12">
        <w:rPr>
          <w:rFonts w:cs="Times New Roman"/>
          <w:sz w:val="20"/>
          <w:szCs w:val="20"/>
        </w:rPr>
        <w:t>Hansmann</w:t>
      </w:r>
      <w:proofErr w:type="spellEnd"/>
      <w:r w:rsidRPr="00F02A12">
        <w:rPr>
          <w:rFonts w:cs="Times New Roman"/>
          <w:sz w:val="20"/>
          <w:szCs w:val="20"/>
        </w:rPr>
        <w:t xml:space="preserve">, </w:t>
      </w:r>
      <w:proofErr w:type="spellStart"/>
      <w:r w:rsidRPr="00F02A12">
        <w:rPr>
          <w:rFonts w:cs="Times New Roman"/>
          <w:sz w:val="20"/>
          <w:szCs w:val="20"/>
        </w:rPr>
        <w:t>Reinier</w:t>
      </w:r>
      <w:proofErr w:type="spellEnd"/>
      <w:r w:rsidRPr="00F02A12">
        <w:rPr>
          <w:rFonts w:cs="Times New Roman"/>
          <w:sz w:val="20"/>
          <w:szCs w:val="20"/>
        </w:rPr>
        <w:t xml:space="preserve"> </w:t>
      </w:r>
      <w:proofErr w:type="spellStart"/>
      <w:r w:rsidRPr="00F02A12">
        <w:rPr>
          <w:rFonts w:cs="Times New Roman"/>
          <w:sz w:val="20"/>
          <w:szCs w:val="20"/>
        </w:rPr>
        <w:t>Kraakman</w:t>
      </w:r>
      <w:proofErr w:type="spellEnd"/>
      <w:r w:rsidRPr="00F02A12">
        <w:rPr>
          <w:rFonts w:cs="Times New Roman"/>
          <w:sz w:val="20"/>
          <w:szCs w:val="20"/>
        </w:rPr>
        <w:t xml:space="preserve"> &amp; Mariana Pargendler, </w:t>
      </w:r>
      <w:r w:rsidRPr="00F02A12">
        <w:rPr>
          <w:rFonts w:cs="Times New Roman"/>
          <w:i/>
          <w:sz w:val="20"/>
          <w:szCs w:val="20"/>
        </w:rPr>
        <w:t>What Is Corporate Law</w:t>
      </w:r>
      <w:proofErr w:type="gramStart"/>
      <w:r w:rsidRPr="00F02A12">
        <w:rPr>
          <w:rFonts w:cs="Times New Roman"/>
          <w:i/>
          <w:sz w:val="20"/>
          <w:szCs w:val="20"/>
        </w:rPr>
        <w:t>?</w:t>
      </w:r>
      <w:r w:rsidRPr="00F02A12">
        <w:rPr>
          <w:rFonts w:cs="Times New Roman"/>
          <w:sz w:val="20"/>
          <w:szCs w:val="20"/>
        </w:rPr>
        <w:t>,</w:t>
      </w:r>
      <w:proofErr w:type="gramEnd"/>
      <w:r w:rsidRPr="00F02A12">
        <w:rPr>
          <w:rFonts w:cs="Times New Roman"/>
          <w:sz w:val="20"/>
          <w:szCs w:val="20"/>
        </w:rPr>
        <w:t xml:space="preserve"> </w:t>
      </w:r>
      <w:r w:rsidRPr="00F02A12">
        <w:rPr>
          <w:rFonts w:cs="Times New Roman"/>
          <w:i/>
          <w:sz w:val="20"/>
          <w:szCs w:val="20"/>
        </w:rPr>
        <w:t>in</w:t>
      </w:r>
      <w:r w:rsidRPr="00F02A12">
        <w:rPr>
          <w:rFonts w:cs="Times New Roman"/>
          <w:sz w:val="20"/>
          <w:szCs w:val="20"/>
        </w:rPr>
        <w:t xml:space="preserve"> </w:t>
      </w:r>
      <w:r w:rsidRPr="00F02A12">
        <w:rPr>
          <w:rFonts w:cs="Times New Roman"/>
          <w:smallCaps/>
          <w:sz w:val="20"/>
          <w:szCs w:val="20"/>
        </w:rPr>
        <w:t>The Anatomy of Corporate Law: A Comparative and Functional Approach</w:t>
      </w:r>
      <w:r w:rsidRPr="00F02A12">
        <w:rPr>
          <w:rFonts w:cs="Times New Roman"/>
          <w:sz w:val="20"/>
          <w:szCs w:val="20"/>
        </w:rPr>
        <w:t xml:space="preserve"> (</w:t>
      </w:r>
      <w:proofErr w:type="spellStart"/>
      <w:r w:rsidRPr="00F02A12">
        <w:rPr>
          <w:rFonts w:cs="Times New Roman"/>
          <w:sz w:val="20"/>
          <w:szCs w:val="20"/>
        </w:rPr>
        <w:t>Re</w:t>
      </w:r>
      <w:r>
        <w:rPr>
          <w:rFonts w:cs="Times New Roman"/>
          <w:sz w:val="20"/>
          <w:szCs w:val="20"/>
        </w:rPr>
        <w:t>inier</w:t>
      </w:r>
      <w:proofErr w:type="spellEnd"/>
      <w:r>
        <w:rPr>
          <w:rFonts w:cs="Times New Roman"/>
          <w:sz w:val="20"/>
          <w:szCs w:val="20"/>
        </w:rPr>
        <w:t xml:space="preserve"> </w:t>
      </w:r>
      <w:proofErr w:type="spellStart"/>
      <w:r>
        <w:rPr>
          <w:rFonts w:cs="Times New Roman"/>
          <w:sz w:val="20"/>
          <w:szCs w:val="20"/>
        </w:rPr>
        <w:t>Kraakman</w:t>
      </w:r>
      <w:proofErr w:type="spellEnd"/>
      <w:r>
        <w:rPr>
          <w:rFonts w:cs="Times New Roman"/>
          <w:sz w:val="20"/>
          <w:szCs w:val="20"/>
        </w:rPr>
        <w:t xml:space="preserve"> et al. eds., 2017</w:t>
      </w:r>
      <w:r w:rsidRPr="00F02A12">
        <w:rPr>
          <w:rFonts w:cs="Times New Roman"/>
          <w:sz w:val="20"/>
          <w:szCs w:val="20"/>
        </w:rPr>
        <w:t xml:space="preserve">) (hereinafter “Anatomy of Corporate Law”). </w:t>
      </w:r>
    </w:p>
  </w:footnote>
  <w:footnote w:id="2">
    <w:p w:rsidR="000373FF" w:rsidRPr="00DA0FC6" w:rsidRDefault="000373FF" w:rsidP="00F02A12">
      <w:pPr>
        <w:pStyle w:val="Textodenotaderodap"/>
        <w:jc w:val="both"/>
        <w:rPr>
          <w:rFonts w:cs="Times New Roman"/>
          <w:sz w:val="20"/>
          <w:szCs w:val="20"/>
        </w:rPr>
      </w:pPr>
      <w:r>
        <w:rPr>
          <w:rStyle w:val="Refdenotaderodap"/>
        </w:rPr>
        <w:footnoteRef/>
      </w:r>
      <w:r w:rsidRPr="00F02A12">
        <w:rPr>
          <w:rStyle w:val="Refdenotaderodap"/>
          <w:rFonts w:cs="Times New Roman"/>
          <w:sz w:val="20"/>
          <w:szCs w:val="20"/>
        </w:rPr>
        <w:footnoteRef/>
      </w:r>
      <w:r w:rsidRPr="00F02A12">
        <w:rPr>
          <w:rFonts w:cs="Times New Roman"/>
          <w:sz w:val="20"/>
          <w:szCs w:val="20"/>
        </w:rPr>
        <w:t xml:space="preserve"> Some countries (most notably Germany) have also harnessed corporate law to protect workers. </w:t>
      </w:r>
      <w:proofErr w:type="gramStart"/>
      <w:r w:rsidRPr="00F02A12">
        <w:rPr>
          <w:rFonts w:cs="Times New Roman"/>
          <w:sz w:val="20"/>
          <w:szCs w:val="20"/>
        </w:rPr>
        <w:t>And</w:t>
      </w:r>
      <w:proofErr w:type="gramEnd"/>
      <w:r w:rsidRPr="00F02A12">
        <w:rPr>
          <w:rFonts w:cs="Times New Roman"/>
          <w:sz w:val="20"/>
          <w:szCs w:val="20"/>
        </w:rPr>
        <w:t xml:space="preserve"> different countries have increasingly, if controversially, employed corporate governance mechanisms to promote a variety of broader external objectives, from reducing systemic risk and inequality to protecting human rights and the environment. For a detailed exposition of these points, </w:t>
      </w:r>
      <w:r w:rsidRPr="00F02A12">
        <w:rPr>
          <w:rFonts w:cs="Times New Roman"/>
          <w:i/>
          <w:sz w:val="20"/>
          <w:szCs w:val="20"/>
        </w:rPr>
        <w:t xml:space="preserve">see </w:t>
      </w:r>
      <w:r w:rsidRPr="00DA0FC6">
        <w:rPr>
          <w:rFonts w:cs="Times New Roman"/>
          <w:sz w:val="20"/>
          <w:szCs w:val="20"/>
        </w:rPr>
        <w:t xml:space="preserve">Luca </w:t>
      </w:r>
      <w:proofErr w:type="spellStart"/>
      <w:r w:rsidRPr="00DA0FC6">
        <w:rPr>
          <w:rFonts w:cs="Times New Roman"/>
          <w:sz w:val="20"/>
          <w:szCs w:val="20"/>
        </w:rPr>
        <w:t>Enriques</w:t>
      </w:r>
      <w:proofErr w:type="spellEnd"/>
      <w:r w:rsidRPr="00DA0FC6">
        <w:rPr>
          <w:rFonts w:cs="Times New Roman"/>
          <w:sz w:val="20"/>
          <w:szCs w:val="20"/>
        </w:rPr>
        <w:t xml:space="preserve">, Henry </w:t>
      </w:r>
      <w:proofErr w:type="spellStart"/>
      <w:r w:rsidRPr="00DA0FC6">
        <w:rPr>
          <w:rFonts w:cs="Times New Roman"/>
          <w:sz w:val="20"/>
          <w:szCs w:val="20"/>
        </w:rPr>
        <w:t>Hansmann</w:t>
      </w:r>
      <w:proofErr w:type="spellEnd"/>
      <w:r w:rsidRPr="00DA0FC6">
        <w:rPr>
          <w:rFonts w:cs="Times New Roman"/>
          <w:sz w:val="20"/>
          <w:szCs w:val="20"/>
        </w:rPr>
        <w:t xml:space="preserve">, </w:t>
      </w:r>
      <w:proofErr w:type="spellStart"/>
      <w:r w:rsidRPr="00DA0FC6">
        <w:rPr>
          <w:rFonts w:cs="Times New Roman"/>
          <w:sz w:val="20"/>
          <w:szCs w:val="20"/>
        </w:rPr>
        <w:t>Reinier</w:t>
      </w:r>
      <w:proofErr w:type="spellEnd"/>
      <w:r w:rsidRPr="00DA0FC6">
        <w:rPr>
          <w:rFonts w:cs="Times New Roman"/>
          <w:sz w:val="20"/>
          <w:szCs w:val="20"/>
        </w:rPr>
        <w:t xml:space="preserve"> </w:t>
      </w:r>
      <w:proofErr w:type="spellStart"/>
      <w:r w:rsidRPr="00DA0FC6">
        <w:rPr>
          <w:rFonts w:cs="Times New Roman"/>
          <w:sz w:val="20"/>
          <w:szCs w:val="20"/>
        </w:rPr>
        <w:t>Kraakman</w:t>
      </w:r>
      <w:proofErr w:type="spellEnd"/>
      <w:r w:rsidRPr="00DA0FC6">
        <w:rPr>
          <w:rFonts w:cs="Times New Roman"/>
          <w:sz w:val="20"/>
          <w:szCs w:val="20"/>
        </w:rPr>
        <w:t>, and Mariana Pargendler</w:t>
      </w:r>
      <w:r>
        <w:rPr>
          <w:rFonts w:cs="Times New Roman"/>
          <w:sz w:val="20"/>
          <w:szCs w:val="20"/>
        </w:rPr>
        <w:t xml:space="preserve">, </w:t>
      </w:r>
      <w:r w:rsidRPr="00DC4143">
        <w:rPr>
          <w:rFonts w:cs="Times New Roman"/>
          <w:i/>
          <w:sz w:val="20"/>
          <w:szCs w:val="20"/>
        </w:rPr>
        <w:t>The Basic Governance Structure: Minority Shareholders and Non-Shareholder Constituencies</w:t>
      </w:r>
      <w:r>
        <w:rPr>
          <w:rFonts w:cs="Times New Roman"/>
          <w:sz w:val="20"/>
          <w:szCs w:val="20"/>
        </w:rPr>
        <w:t xml:space="preserve">, </w:t>
      </w:r>
      <w:r>
        <w:rPr>
          <w:rFonts w:cs="Times New Roman"/>
          <w:i/>
          <w:sz w:val="20"/>
          <w:szCs w:val="20"/>
        </w:rPr>
        <w:t xml:space="preserve">in </w:t>
      </w:r>
      <w:r w:rsidRPr="00DC4143">
        <w:rPr>
          <w:rFonts w:cs="Times New Roman"/>
          <w:smallCaps/>
          <w:sz w:val="20"/>
          <w:szCs w:val="20"/>
        </w:rPr>
        <w:t>Anatomy of Corporate Law</w:t>
      </w:r>
      <w:r>
        <w:rPr>
          <w:rFonts w:cs="Times New Roman"/>
          <w:sz w:val="20"/>
          <w:szCs w:val="20"/>
        </w:rPr>
        <w:t xml:space="preserve">, </w:t>
      </w:r>
      <w:r>
        <w:rPr>
          <w:rFonts w:cs="Times New Roman"/>
          <w:i/>
          <w:sz w:val="20"/>
          <w:szCs w:val="20"/>
        </w:rPr>
        <w:t xml:space="preserve">supra </w:t>
      </w:r>
      <w:r>
        <w:rPr>
          <w:rFonts w:cs="Times New Roman"/>
          <w:sz w:val="20"/>
          <w:szCs w:val="20"/>
        </w:rPr>
        <w:t xml:space="preserve">note </w:t>
      </w:r>
      <w:r>
        <w:rPr>
          <w:rFonts w:cs="Times New Roman"/>
          <w:sz w:val="20"/>
          <w:szCs w:val="20"/>
        </w:rPr>
        <w:fldChar w:fldCharType="begin"/>
      </w:r>
      <w:r>
        <w:rPr>
          <w:rFonts w:cs="Times New Roman"/>
          <w:sz w:val="20"/>
          <w:szCs w:val="20"/>
        </w:rPr>
        <w:instrText xml:space="preserve"> NOTEREF _Ref451501819 \h </w:instrText>
      </w:r>
      <w:r>
        <w:rPr>
          <w:rFonts w:cs="Times New Roman"/>
          <w:sz w:val="20"/>
          <w:szCs w:val="20"/>
        </w:rPr>
      </w:r>
      <w:r>
        <w:rPr>
          <w:rFonts w:cs="Times New Roman"/>
          <w:sz w:val="20"/>
          <w:szCs w:val="20"/>
        </w:rPr>
        <w:fldChar w:fldCharType="separate"/>
      </w:r>
      <w:proofErr w:type="gramStart"/>
      <w:r>
        <w:rPr>
          <w:rFonts w:cs="Times New Roman"/>
          <w:sz w:val="20"/>
          <w:szCs w:val="20"/>
        </w:rPr>
        <w:t>1</w:t>
      </w:r>
      <w:proofErr w:type="gramEnd"/>
      <w:r>
        <w:rPr>
          <w:rFonts w:cs="Times New Roman"/>
          <w:sz w:val="20"/>
          <w:szCs w:val="20"/>
        </w:rPr>
        <w:fldChar w:fldCharType="end"/>
      </w:r>
      <w:r>
        <w:rPr>
          <w:rFonts w:cs="Times New Roman"/>
          <w:sz w:val="20"/>
          <w:szCs w:val="20"/>
        </w:rPr>
        <w:t xml:space="preserve">. </w:t>
      </w:r>
    </w:p>
  </w:footnote>
  <w:footnote w:id="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proofErr w:type="gramStart"/>
      <w:r w:rsidRPr="00F02A12">
        <w:rPr>
          <w:i/>
          <w:sz w:val="20"/>
          <w:szCs w:val="20"/>
        </w:rPr>
        <w:t>See</w:t>
      </w:r>
      <w:r w:rsidRPr="00F02A12">
        <w:rPr>
          <w:sz w:val="20"/>
          <w:szCs w:val="20"/>
        </w:rPr>
        <w:t xml:space="preserve">, </w:t>
      </w:r>
      <w:r w:rsidRPr="00F02A12">
        <w:rPr>
          <w:i/>
          <w:sz w:val="20"/>
          <w:szCs w:val="20"/>
        </w:rPr>
        <w:t>e.g.</w:t>
      </w:r>
      <w:r w:rsidRPr="00F02A12">
        <w:rPr>
          <w:sz w:val="20"/>
          <w:szCs w:val="20"/>
        </w:rPr>
        <w:t xml:space="preserve">, Alexander </w:t>
      </w:r>
      <w:proofErr w:type="spellStart"/>
      <w:r w:rsidRPr="00F02A12">
        <w:rPr>
          <w:sz w:val="20"/>
          <w:szCs w:val="20"/>
        </w:rPr>
        <w:t>Dyck</w:t>
      </w:r>
      <w:proofErr w:type="spellEnd"/>
      <w:r w:rsidRPr="00F02A12">
        <w:rPr>
          <w:sz w:val="20"/>
          <w:szCs w:val="20"/>
        </w:rPr>
        <w:t xml:space="preserve"> &amp; Luigi </w:t>
      </w:r>
      <w:proofErr w:type="spellStart"/>
      <w:r w:rsidRPr="00F02A12">
        <w:rPr>
          <w:sz w:val="20"/>
          <w:szCs w:val="20"/>
        </w:rPr>
        <w:t>Zingales</w:t>
      </w:r>
      <w:proofErr w:type="spellEnd"/>
      <w:r w:rsidRPr="00F02A12">
        <w:rPr>
          <w:sz w:val="20"/>
          <w:szCs w:val="20"/>
        </w:rPr>
        <w:t xml:space="preserve">, </w:t>
      </w:r>
      <w:r w:rsidRPr="00F02A12">
        <w:rPr>
          <w:rStyle w:val="italic"/>
          <w:sz w:val="20"/>
          <w:szCs w:val="20"/>
        </w:rPr>
        <w:t>Private Benefits of Control: An International Comparison</w:t>
      </w:r>
      <w:r w:rsidRPr="00F02A12">
        <w:rPr>
          <w:sz w:val="20"/>
          <w:szCs w:val="20"/>
        </w:rPr>
        <w:t xml:space="preserve">, 59 </w:t>
      </w:r>
      <w:r w:rsidRPr="00F02A12">
        <w:rPr>
          <w:rStyle w:val="sc"/>
          <w:sz w:val="20"/>
          <w:szCs w:val="20"/>
        </w:rPr>
        <w:t xml:space="preserve">Journal of Finance </w:t>
      </w:r>
      <w:r w:rsidRPr="00F02A12">
        <w:rPr>
          <w:sz w:val="20"/>
          <w:szCs w:val="20"/>
        </w:rPr>
        <w:t xml:space="preserve">537, 551 (2004); </w:t>
      </w:r>
      <w:r w:rsidRPr="00F02A12">
        <w:rPr>
          <w:rFonts w:cs="Arial"/>
          <w:smallCaps/>
          <w:sz w:val="20"/>
          <w:szCs w:val="20"/>
        </w:rPr>
        <w:t>Corporate Governance in Context: Corporations, States, and Markets in Europe, Japan, and the US</w:t>
      </w:r>
      <w:r w:rsidRPr="00F02A12">
        <w:rPr>
          <w:rFonts w:cs="Arial"/>
          <w:sz w:val="20"/>
          <w:szCs w:val="20"/>
        </w:rPr>
        <w:t xml:space="preserve"> (Klaus J. </w:t>
      </w:r>
      <w:proofErr w:type="spellStart"/>
      <w:r w:rsidRPr="00F02A12">
        <w:rPr>
          <w:rFonts w:cs="Arial"/>
          <w:sz w:val="20"/>
          <w:szCs w:val="20"/>
        </w:rPr>
        <w:t>Hopt</w:t>
      </w:r>
      <w:proofErr w:type="spellEnd"/>
      <w:r w:rsidRPr="00F02A12">
        <w:rPr>
          <w:rFonts w:cs="Arial"/>
          <w:sz w:val="20"/>
          <w:szCs w:val="20"/>
        </w:rPr>
        <w:t xml:space="preserve"> et al. eds., 2005); </w:t>
      </w:r>
      <w:proofErr w:type="spellStart"/>
      <w:r w:rsidRPr="00F02A12">
        <w:rPr>
          <w:rFonts w:cs="Times New Roman"/>
          <w:sz w:val="20"/>
          <w:szCs w:val="20"/>
        </w:rPr>
        <w:t>Sofie</w:t>
      </w:r>
      <w:proofErr w:type="spellEnd"/>
      <w:r w:rsidRPr="00F02A12">
        <w:rPr>
          <w:rFonts w:cs="Times New Roman"/>
          <w:sz w:val="20"/>
          <w:szCs w:val="20"/>
        </w:rPr>
        <w:t xml:space="preserve"> Cools, </w:t>
      </w:r>
      <w:r w:rsidRPr="00F02A12">
        <w:rPr>
          <w:rFonts w:cs="Times New Roman"/>
          <w:i/>
          <w:sz w:val="20"/>
          <w:szCs w:val="20"/>
        </w:rPr>
        <w:t>The Real Difference in Corporate Law between the United States and Continental Europe: Distribution of Powers</w:t>
      </w:r>
      <w:r w:rsidRPr="00F02A12">
        <w:rPr>
          <w:rFonts w:cs="Times New Roman"/>
          <w:sz w:val="20"/>
          <w:szCs w:val="20"/>
        </w:rPr>
        <w:t>, 3</w:t>
      </w:r>
      <w:r w:rsidRPr="00F02A12">
        <w:rPr>
          <w:rFonts w:cs="Times New Roman"/>
          <w:smallCaps/>
          <w:sz w:val="20"/>
          <w:szCs w:val="20"/>
        </w:rPr>
        <w:t>0 Del. J. Corp. L.</w:t>
      </w:r>
      <w:r w:rsidRPr="00F02A12">
        <w:rPr>
          <w:rFonts w:cs="Times New Roman"/>
          <w:sz w:val="20"/>
          <w:szCs w:val="20"/>
        </w:rPr>
        <w:t xml:space="preserve"> 697 (2005).</w:t>
      </w:r>
      <w:proofErr w:type="gramEnd"/>
    </w:p>
  </w:footnote>
  <w:footnote w:id="4">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i/>
          <w:sz w:val="20"/>
          <w:szCs w:val="20"/>
        </w:rPr>
        <w:t>See</w:t>
      </w:r>
      <w:r w:rsidRPr="00F02A12">
        <w:rPr>
          <w:rFonts w:cs="Times New Roman"/>
          <w:sz w:val="20"/>
          <w:szCs w:val="20"/>
        </w:rPr>
        <w:t xml:space="preserve">, </w:t>
      </w:r>
      <w:r w:rsidRPr="00F02A12">
        <w:rPr>
          <w:rFonts w:cs="Times New Roman"/>
          <w:i/>
          <w:sz w:val="20"/>
          <w:szCs w:val="20"/>
        </w:rPr>
        <w:t>e.g.</w:t>
      </w:r>
      <w:r w:rsidRPr="00F02A12">
        <w:rPr>
          <w:rFonts w:cs="Times New Roman"/>
          <w:sz w:val="20"/>
          <w:szCs w:val="20"/>
        </w:rPr>
        <w:t>, Rafael La Porta, Florencio Lopez-de-</w:t>
      </w:r>
      <w:proofErr w:type="spellStart"/>
      <w:r w:rsidRPr="00F02A12">
        <w:rPr>
          <w:rFonts w:cs="Times New Roman"/>
          <w:sz w:val="20"/>
          <w:szCs w:val="20"/>
        </w:rPr>
        <w:t>Silanes</w:t>
      </w:r>
      <w:proofErr w:type="spellEnd"/>
      <w:r w:rsidRPr="00F02A12">
        <w:rPr>
          <w:rFonts w:cs="Times New Roman"/>
          <w:sz w:val="20"/>
          <w:szCs w:val="20"/>
        </w:rPr>
        <w:t xml:space="preserve">, Andrei Shleifer &amp; Robert </w:t>
      </w:r>
      <w:proofErr w:type="spellStart"/>
      <w:r w:rsidRPr="00F02A12">
        <w:rPr>
          <w:rFonts w:cs="Times New Roman"/>
          <w:sz w:val="20"/>
          <w:szCs w:val="20"/>
        </w:rPr>
        <w:t>Vishny</w:t>
      </w:r>
      <w:proofErr w:type="spellEnd"/>
      <w:r w:rsidRPr="00F02A12">
        <w:rPr>
          <w:rFonts w:cs="Times New Roman"/>
          <w:sz w:val="20"/>
          <w:szCs w:val="20"/>
        </w:rPr>
        <w:t xml:space="preserve">, </w:t>
      </w:r>
      <w:r w:rsidRPr="00F02A12">
        <w:rPr>
          <w:rFonts w:cs="Times New Roman"/>
          <w:i/>
          <w:sz w:val="20"/>
          <w:szCs w:val="20"/>
        </w:rPr>
        <w:t>Law and Finance</w:t>
      </w:r>
      <w:r w:rsidRPr="00F02A12">
        <w:rPr>
          <w:rFonts w:cs="Times New Roman"/>
          <w:sz w:val="20"/>
          <w:szCs w:val="20"/>
        </w:rPr>
        <w:t xml:space="preserve">, 106 </w:t>
      </w:r>
      <w:r w:rsidRPr="00F02A12">
        <w:rPr>
          <w:rFonts w:cs="Times New Roman"/>
          <w:smallCaps/>
          <w:sz w:val="20"/>
          <w:szCs w:val="20"/>
        </w:rPr>
        <w:t>J. Pol. Econ.</w:t>
      </w:r>
      <w:r w:rsidRPr="00F02A12">
        <w:rPr>
          <w:rFonts w:cs="Times New Roman"/>
          <w:sz w:val="20"/>
          <w:szCs w:val="20"/>
        </w:rPr>
        <w:t xml:space="preserve"> 1113 (1998);</w:t>
      </w:r>
      <w:r w:rsidRPr="00F02A12">
        <w:rPr>
          <w:sz w:val="20"/>
          <w:szCs w:val="20"/>
        </w:rPr>
        <w:t xml:space="preserve"> Simeon </w:t>
      </w:r>
      <w:proofErr w:type="spellStart"/>
      <w:r w:rsidRPr="00F02A12">
        <w:rPr>
          <w:sz w:val="20"/>
          <w:szCs w:val="20"/>
        </w:rPr>
        <w:t>Djankov</w:t>
      </w:r>
      <w:proofErr w:type="spellEnd"/>
      <w:r w:rsidRPr="00F02A12">
        <w:rPr>
          <w:sz w:val="20"/>
          <w:szCs w:val="20"/>
        </w:rPr>
        <w:t>, Rafael La Porta, Florencio Lopez-de-</w:t>
      </w:r>
      <w:proofErr w:type="spellStart"/>
      <w:r w:rsidRPr="00F02A12">
        <w:rPr>
          <w:sz w:val="20"/>
          <w:szCs w:val="20"/>
        </w:rPr>
        <w:t>Silanes</w:t>
      </w:r>
      <w:proofErr w:type="spellEnd"/>
      <w:r w:rsidRPr="00F02A12">
        <w:rPr>
          <w:sz w:val="20"/>
          <w:szCs w:val="20"/>
        </w:rPr>
        <w:t xml:space="preserve"> &amp; Andrei Shleifer, </w:t>
      </w:r>
      <w:r w:rsidRPr="00F02A12">
        <w:rPr>
          <w:i/>
          <w:sz w:val="20"/>
          <w:szCs w:val="20"/>
        </w:rPr>
        <w:t>The Law and Economics of Self-Dealing</w:t>
      </w:r>
      <w:r w:rsidRPr="00F02A12">
        <w:rPr>
          <w:sz w:val="20"/>
          <w:szCs w:val="20"/>
        </w:rPr>
        <w:t xml:space="preserve">, 88 </w:t>
      </w:r>
      <w:r w:rsidRPr="00F02A12">
        <w:rPr>
          <w:smallCaps/>
          <w:sz w:val="20"/>
          <w:szCs w:val="20"/>
        </w:rPr>
        <w:t>J. Fin. Econ.</w:t>
      </w:r>
      <w:r w:rsidRPr="00F02A12">
        <w:rPr>
          <w:sz w:val="20"/>
          <w:szCs w:val="20"/>
        </w:rPr>
        <w:t xml:space="preserve"> </w:t>
      </w:r>
      <w:proofErr w:type="gramStart"/>
      <w:r w:rsidRPr="00F02A12">
        <w:rPr>
          <w:sz w:val="20"/>
          <w:szCs w:val="20"/>
        </w:rPr>
        <w:t>430</w:t>
      </w:r>
      <w:proofErr w:type="gramEnd"/>
      <w:r w:rsidRPr="00F02A12">
        <w:rPr>
          <w:sz w:val="20"/>
          <w:szCs w:val="20"/>
        </w:rPr>
        <w:t xml:space="preserve"> (2008).</w:t>
      </w:r>
    </w:p>
  </w:footnote>
  <w:footnote w:id="5">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i/>
          <w:sz w:val="20"/>
          <w:szCs w:val="20"/>
        </w:rPr>
        <w:t>See</w:t>
      </w:r>
      <w:r w:rsidRPr="00F02A12">
        <w:rPr>
          <w:rFonts w:cs="Times New Roman"/>
          <w:sz w:val="20"/>
          <w:szCs w:val="20"/>
        </w:rPr>
        <w:t xml:space="preserve">, </w:t>
      </w:r>
      <w:r w:rsidRPr="00F02A12">
        <w:rPr>
          <w:rFonts w:cs="Times New Roman"/>
          <w:i/>
          <w:sz w:val="20"/>
          <w:szCs w:val="20"/>
        </w:rPr>
        <w:t>e.g.</w:t>
      </w:r>
      <w:r w:rsidRPr="00F02A12">
        <w:rPr>
          <w:rFonts w:cs="Times New Roman"/>
          <w:sz w:val="20"/>
          <w:szCs w:val="20"/>
        </w:rPr>
        <w:t xml:space="preserve">, </w:t>
      </w:r>
      <w:r w:rsidRPr="00F02A12">
        <w:rPr>
          <w:rFonts w:cs="Times New Roman"/>
          <w:smallCaps/>
          <w:sz w:val="20"/>
          <w:szCs w:val="20"/>
        </w:rPr>
        <w:t xml:space="preserve">Mark J. Roe, </w:t>
      </w:r>
      <w:r w:rsidRPr="00F02A12">
        <w:rPr>
          <w:rStyle w:val="sc"/>
          <w:rFonts w:cs="Times New Roman"/>
          <w:sz w:val="20"/>
          <w:szCs w:val="20"/>
        </w:rPr>
        <w:t xml:space="preserve">Political Determinants of Corporate Governance </w:t>
      </w:r>
      <w:r w:rsidRPr="00F02A12">
        <w:rPr>
          <w:rFonts w:cs="Times New Roman"/>
          <w:sz w:val="20"/>
          <w:szCs w:val="20"/>
        </w:rPr>
        <w:t>(2003)</w:t>
      </w:r>
      <w:r w:rsidRPr="00F02A12">
        <w:rPr>
          <w:sz w:val="20"/>
          <w:szCs w:val="20"/>
        </w:rPr>
        <w:t xml:space="preserve">; Marco Pagano &amp; Paolo F. </w:t>
      </w:r>
      <w:proofErr w:type="spellStart"/>
      <w:r w:rsidRPr="00F02A12">
        <w:rPr>
          <w:sz w:val="20"/>
          <w:szCs w:val="20"/>
        </w:rPr>
        <w:t>Volpin</w:t>
      </w:r>
      <w:proofErr w:type="spellEnd"/>
      <w:r w:rsidRPr="00F02A12">
        <w:rPr>
          <w:sz w:val="20"/>
          <w:szCs w:val="20"/>
        </w:rPr>
        <w:t xml:space="preserve">, </w:t>
      </w:r>
      <w:r w:rsidRPr="00F02A12">
        <w:rPr>
          <w:i/>
          <w:sz w:val="20"/>
          <w:szCs w:val="20"/>
        </w:rPr>
        <w:t>The Political Economy of Corporate Governance</w:t>
      </w:r>
      <w:r w:rsidRPr="00F02A12">
        <w:rPr>
          <w:sz w:val="20"/>
          <w:szCs w:val="20"/>
        </w:rPr>
        <w:t xml:space="preserve">, 85 </w:t>
      </w:r>
      <w:r w:rsidRPr="00F02A12">
        <w:rPr>
          <w:smallCaps/>
          <w:sz w:val="20"/>
          <w:szCs w:val="20"/>
        </w:rPr>
        <w:t xml:space="preserve">Am. Econ. Rev. </w:t>
      </w:r>
      <w:r w:rsidRPr="00F02A12">
        <w:rPr>
          <w:sz w:val="20"/>
          <w:szCs w:val="20"/>
        </w:rPr>
        <w:t xml:space="preserve">1005 (2005); </w:t>
      </w:r>
      <w:proofErr w:type="spellStart"/>
      <w:r w:rsidRPr="00F02A12">
        <w:rPr>
          <w:sz w:val="20"/>
          <w:szCs w:val="20"/>
        </w:rPr>
        <w:t>Raghuram</w:t>
      </w:r>
      <w:proofErr w:type="spellEnd"/>
      <w:r w:rsidRPr="00F02A12">
        <w:rPr>
          <w:sz w:val="20"/>
          <w:szCs w:val="20"/>
        </w:rPr>
        <w:t xml:space="preserve"> </w:t>
      </w:r>
      <w:proofErr w:type="spellStart"/>
      <w:r w:rsidRPr="00F02A12">
        <w:rPr>
          <w:sz w:val="20"/>
          <w:szCs w:val="20"/>
        </w:rPr>
        <w:t>Rajan</w:t>
      </w:r>
      <w:proofErr w:type="spellEnd"/>
      <w:r w:rsidRPr="00F02A12">
        <w:rPr>
          <w:sz w:val="20"/>
          <w:szCs w:val="20"/>
        </w:rPr>
        <w:t xml:space="preserve"> &amp; Luigi </w:t>
      </w:r>
      <w:proofErr w:type="spellStart"/>
      <w:r w:rsidRPr="00F02A12">
        <w:rPr>
          <w:sz w:val="20"/>
          <w:szCs w:val="20"/>
        </w:rPr>
        <w:t>Zingales</w:t>
      </w:r>
      <w:proofErr w:type="spellEnd"/>
      <w:r w:rsidRPr="00F02A12">
        <w:rPr>
          <w:sz w:val="20"/>
          <w:szCs w:val="20"/>
        </w:rPr>
        <w:t xml:space="preserve">, </w:t>
      </w:r>
      <w:proofErr w:type="gramStart"/>
      <w:r w:rsidRPr="00F02A12">
        <w:rPr>
          <w:i/>
          <w:sz w:val="20"/>
          <w:szCs w:val="20"/>
        </w:rPr>
        <w:t>The</w:t>
      </w:r>
      <w:proofErr w:type="gramEnd"/>
      <w:r w:rsidRPr="00F02A12">
        <w:rPr>
          <w:i/>
          <w:sz w:val="20"/>
          <w:szCs w:val="20"/>
        </w:rPr>
        <w:t xml:space="preserve"> Great Reversals: The Politics of Financial Development in the Twentieth Century</w:t>
      </w:r>
      <w:r w:rsidRPr="00F02A12">
        <w:rPr>
          <w:sz w:val="20"/>
          <w:szCs w:val="20"/>
        </w:rPr>
        <w:t xml:space="preserve">, 69 </w:t>
      </w:r>
      <w:r w:rsidRPr="00F02A12">
        <w:rPr>
          <w:smallCaps/>
          <w:sz w:val="20"/>
          <w:szCs w:val="20"/>
        </w:rPr>
        <w:t>J. Fin. Econ.</w:t>
      </w:r>
      <w:r w:rsidRPr="00F02A12">
        <w:rPr>
          <w:sz w:val="20"/>
          <w:szCs w:val="20"/>
        </w:rPr>
        <w:t xml:space="preserve"> </w:t>
      </w:r>
      <w:proofErr w:type="gramStart"/>
      <w:r w:rsidRPr="00F02A12">
        <w:rPr>
          <w:sz w:val="20"/>
          <w:szCs w:val="20"/>
        </w:rPr>
        <w:t>5</w:t>
      </w:r>
      <w:proofErr w:type="gramEnd"/>
      <w:r w:rsidRPr="00F02A12">
        <w:rPr>
          <w:sz w:val="20"/>
          <w:szCs w:val="20"/>
        </w:rPr>
        <w:t xml:space="preserve"> (2003)</w:t>
      </w:r>
      <w:r w:rsidRPr="00F02A12">
        <w:rPr>
          <w:rFonts w:cs="Times New Roman"/>
          <w:sz w:val="20"/>
          <w:szCs w:val="20"/>
        </w:rPr>
        <w:t>.</w:t>
      </w:r>
    </w:p>
  </w:footnote>
  <w:footnote w:id="6">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proofErr w:type="spellStart"/>
      <w:r w:rsidRPr="00F02A12">
        <w:rPr>
          <w:rFonts w:cs="Times New Roman"/>
          <w:sz w:val="20"/>
          <w:szCs w:val="20"/>
        </w:rPr>
        <w:t>Armour</w:t>
      </w:r>
      <w:proofErr w:type="spellEnd"/>
      <w:r w:rsidRPr="00F02A12">
        <w:rPr>
          <w:rFonts w:cs="Times New Roman"/>
          <w:sz w:val="20"/>
          <w:szCs w:val="20"/>
        </w:rPr>
        <w:t xml:space="preserve"> et al., </w:t>
      </w:r>
      <w:r w:rsidRPr="00F02A12">
        <w:rPr>
          <w:rFonts w:cs="Times New Roman"/>
          <w:i/>
          <w:sz w:val="20"/>
          <w:szCs w:val="20"/>
        </w:rPr>
        <w:t xml:space="preserve">supra </w:t>
      </w:r>
      <w:r w:rsidRPr="00F02A12">
        <w:rPr>
          <w:rFonts w:cs="Times New Roman"/>
          <w:sz w:val="20"/>
          <w:szCs w:val="20"/>
        </w:rPr>
        <w:t xml:space="preserve">note </w:t>
      </w:r>
      <w:r w:rsidRPr="00F02A12">
        <w:rPr>
          <w:sz w:val="20"/>
          <w:szCs w:val="20"/>
        </w:rPr>
        <w:fldChar w:fldCharType="begin"/>
      </w:r>
      <w:r w:rsidRPr="00F02A12">
        <w:rPr>
          <w:sz w:val="20"/>
          <w:szCs w:val="20"/>
        </w:rPr>
        <w:instrText xml:space="preserve"> NOTEREF _Ref451501819 \h  \* MERGEFORMAT </w:instrText>
      </w:r>
      <w:r w:rsidRPr="00F02A12">
        <w:rPr>
          <w:sz w:val="20"/>
          <w:szCs w:val="20"/>
        </w:rPr>
      </w:r>
      <w:r w:rsidRPr="00F02A12">
        <w:rPr>
          <w:sz w:val="20"/>
          <w:szCs w:val="20"/>
        </w:rPr>
        <w:fldChar w:fldCharType="separate"/>
      </w:r>
      <w:proofErr w:type="gramStart"/>
      <w:r>
        <w:rPr>
          <w:sz w:val="20"/>
          <w:szCs w:val="20"/>
        </w:rPr>
        <w:t>1</w:t>
      </w:r>
      <w:proofErr w:type="gramEnd"/>
      <w:r w:rsidRPr="00F02A12">
        <w:rPr>
          <w:sz w:val="20"/>
          <w:szCs w:val="20"/>
        </w:rPr>
        <w:fldChar w:fldCharType="end"/>
      </w:r>
      <w:r w:rsidRPr="00F02A12">
        <w:rPr>
          <w:rFonts w:cs="Times New Roman"/>
          <w:sz w:val="20"/>
          <w:szCs w:val="20"/>
        </w:rPr>
        <w:t>.</w:t>
      </w:r>
    </w:p>
  </w:footnote>
  <w:footnote w:id="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Focusing on commonalities can also be illuminating. For the examination of Brazilian corporate law under such a perspective, </w:t>
      </w:r>
      <w:r w:rsidRPr="00F02A12">
        <w:rPr>
          <w:i/>
          <w:sz w:val="20"/>
          <w:szCs w:val="20"/>
        </w:rPr>
        <w:t xml:space="preserve">see </w:t>
      </w:r>
      <w:r w:rsidRPr="00F02A12">
        <w:rPr>
          <w:sz w:val="20"/>
          <w:szCs w:val="20"/>
        </w:rPr>
        <w:t>my own effort in the most recent edition of</w:t>
      </w:r>
      <w:r w:rsidRPr="00F02A12">
        <w:rPr>
          <w:i/>
          <w:sz w:val="20"/>
          <w:szCs w:val="20"/>
        </w:rPr>
        <w:t xml:space="preserve"> </w:t>
      </w:r>
      <w:r w:rsidRPr="00F02A12">
        <w:rPr>
          <w:sz w:val="20"/>
          <w:szCs w:val="20"/>
        </w:rPr>
        <w:t xml:space="preserve">the </w:t>
      </w:r>
      <w:r w:rsidRPr="00F02A12">
        <w:rPr>
          <w:smallCaps/>
          <w:sz w:val="20"/>
          <w:szCs w:val="20"/>
        </w:rPr>
        <w:t>Anatomy of Corporate</w:t>
      </w:r>
      <w:r w:rsidRPr="00F02A12">
        <w:rPr>
          <w:sz w:val="20"/>
          <w:szCs w:val="20"/>
        </w:rPr>
        <w:t xml:space="preserve"> Law,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_Ref451501819 \h  \* MERGEFORMAT </w:instrText>
      </w:r>
      <w:r w:rsidRPr="00F02A12">
        <w:rPr>
          <w:sz w:val="20"/>
          <w:szCs w:val="20"/>
        </w:rPr>
      </w:r>
      <w:r w:rsidRPr="00F02A12">
        <w:rPr>
          <w:sz w:val="20"/>
          <w:szCs w:val="20"/>
        </w:rPr>
        <w:fldChar w:fldCharType="separate"/>
      </w:r>
      <w:proofErr w:type="gramStart"/>
      <w:r>
        <w:rPr>
          <w:sz w:val="20"/>
          <w:szCs w:val="20"/>
        </w:rPr>
        <w:t>1</w:t>
      </w:r>
      <w:proofErr w:type="gramEnd"/>
      <w:r w:rsidRPr="00F02A12">
        <w:rPr>
          <w:sz w:val="20"/>
          <w:szCs w:val="20"/>
        </w:rPr>
        <w:fldChar w:fldCharType="end"/>
      </w:r>
      <w:r w:rsidRPr="00F02A12">
        <w:rPr>
          <w:sz w:val="20"/>
          <w:szCs w:val="20"/>
        </w:rPr>
        <w:t xml:space="preserve">. </w:t>
      </w:r>
    </w:p>
  </w:footnote>
  <w:footnote w:id="8">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Timothy </w:t>
      </w:r>
      <w:proofErr w:type="spellStart"/>
      <w:r w:rsidRPr="00F02A12">
        <w:rPr>
          <w:rFonts w:cs="Times New Roman"/>
          <w:sz w:val="20"/>
          <w:szCs w:val="20"/>
        </w:rPr>
        <w:t>Guinnane</w:t>
      </w:r>
      <w:proofErr w:type="spellEnd"/>
      <w:r w:rsidRPr="00F02A12">
        <w:rPr>
          <w:rFonts w:cs="Times New Roman"/>
          <w:sz w:val="20"/>
          <w:szCs w:val="20"/>
        </w:rPr>
        <w:t xml:space="preserve">, Ron Harris, Naomi R. </w:t>
      </w:r>
      <w:proofErr w:type="spellStart"/>
      <w:r w:rsidRPr="00F02A12">
        <w:rPr>
          <w:rFonts w:cs="Times New Roman"/>
          <w:sz w:val="20"/>
          <w:szCs w:val="20"/>
        </w:rPr>
        <w:t>Lamoreaux</w:t>
      </w:r>
      <w:proofErr w:type="spellEnd"/>
      <w:r w:rsidRPr="00F02A12">
        <w:rPr>
          <w:rFonts w:cs="Times New Roman"/>
          <w:sz w:val="20"/>
          <w:szCs w:val="20"/>
        </w:rPr>
        <w:t xml:space="preserve"> &amp; Jean-Laurent Rosenthal</w:t>
      </w:r>
      <w:r w:rsidRPr="00F02A12">
        <w:rPr>
          <w:rFonts w:cs="Times New Roman"/>
          <w:i/>
          <w:sz w:val="20"/>
          <w:szCs w:val="20"/>
        </w:rPr>
        <w:t>, Putting the Corporation in Its Place</w:t>
      </w:r>
      <w:r w:rsidRPr="00F02A12">
        <w:rPr>
          <w:rFonts w:cs="Times New Roman"/>
          <w:sz w:val="20"/>
          <w:szCs w:val="20"/>
        </w:rPr>
        <w:t xml:space="preserve">, 8 </w:t>
      </w:r>
      <w:r w:rsidRPr="00F02A12">
        <w:rPr>
          <w:rFonts w:cs="Times New Roman"/>
          <w:smallCaps/>
          <w:sz w:val="20"/>
          <w:szCs w:val="20"/>
        </w:rPr>
        <w:t xml:space="preserve">Enterprise &amp; </w:t>
      </w:r>
      <w:proofErr w:type="spellStart"/>
      <w:r w:rsidRPr="00F02A12">
        <w:rPr>
          <w:rFonts w:cs="Times New Roman"/>
          <w:smallCaps/>
          <w:sz w:val="20"/>
          <w:szCs w:val="20"/>
        </w:rPr>
        <w:t>Soc’y</w:t>
      </w:r>
      <w:proofErr w:type="spellEnd"/>
      <w:r w:rsidRPr="00F02A12">
        <w:rPr>
          <w:rFonts w:cs="Times New Roman"/>
          <w:smallCaps/>
          <w:sz w:val="20"/>
          <w:szCs w:val="20"/>
        </w:rPr>
        <w:t xml:space="preserve"> 708 (</w:t>
      </w:r>
      <w:r w:rsidRPr="00F02A12">
        <w:rPr>
          <w:rFonts w:cs="Times New Roman"/>
          <w:sz w:val="20"/>
          <w:szCs w:val="20"/>
        </w:rPr>
        <w:t xml:space="preserve">2007); Naomi R. </w:t>
      </w:r>
      <w:proofErr w:type="spellStart"/>
      <w:r w:rsidRPr="00F02A12">
        <w:rPr>
          <w:rFonts w:cs="Times New Roman"/>
          <w:sz w:val="20"/>
          <w:szCs w:val="20"/>
        </w:rPr>
        <w:t>Lamoreaux</w:t>
      </w:r>
      <w:proofErr w:type="spellEnd"/>
      <w:r w:rsidRPr="00F02A12">
        <w:rPr>
          <w:rFonts w:cs="Times New Roman"/>
          <w:sz w:val="20"/>
          <w:szCs w:val="20"/>
        </w:rPr>
        <w:t xml:space="preserve"> &amp; Jean-Laurent Rosenthal, </w:t>
      </w:r>
      <w:r w:rsidRPr="00F02A12">
        <w:rPr>
          <w:rFonts w:cs="Times New Roman"/>
          <w:i/>
          <w:sz w:val="20"/>
          <w:szCs w:val="20"/>
        </w:rPr>
        <w:t>Legal Regime and Contractual Flexibility: A Comparison of Business’s Organizational Choices in France and the United States during the Era of Industrialization</w:t>
      </w:r>
      <w:r w:rsidRPr="00F02A12">
        <w:rPr>
          <w:rFonts w:cs="Times New Roman"/>
          <w:sz w:val="20"/>
          <w:szCs w:val="20"/>
        </w:rPr>
        <w:t xml:space="preserve">, 7 </w:t>
      </w:r>
      <w:r w:rsidRPr="00F02A12">
        <w:rPr>
          <w:rFonts w:cs="Times New Roman"/>
          <w:smallCaps/>
          <w:sz w:val="20"/>
          <w:szCs w:val="20"/>
        </w:rPr>
        <w:t>Am. L. &amp; Econ. Rev.</w:t>
      </w:r>
      <w:r w:rsidRPr="00F02A12">
        <w:rPr>
          <w:rFonts w:cs="Times New Roman"/>
          <w:sz w:val="20"/>
          <w:szCs w:val="20"/>
        </w:rPr>
        <w:t xml:space="preserve"> 28 (2005).</w:t>
      </w:r>
    </w:p>
  </w:footnote>
  <w:footnote w:id="9">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i/>
          <w:sz w:val="20"/>
          <w:szCs w:val="20"/>
        </w:rPr>
        <w:t>See</w:t>
      </w:r>
      <w:r w:rsidRPr="00F02A12">
        <w:rPr>
          <w:rFonts w:cs="Times New Roman"/>
          <w:sz w:val="20"/>
          <w:szCs w:val="20"/>
        </w:rPr>
        <w:t xml:space="preserve">, </w:t>
      </w:r>
      <w:r w:rsidRPr="00F02A12">
        <w:rPr>
          <w:rFonts w:cs="Times New Roman"/>
          <w:i/>
          <w:sz w:val="20"/>
          <w:szCs w:val="20"/>
        </w:rPr>
        <w:t>e.g.</w:t>
      </w:r>
      <w:r w:rsidRPr="00F02A12">
        <w:rPr>
          <w:rFonts w:cs="Times New Roman"/>
          <w:sz w:val="20"/>
          <w:szCs w:val="20"/>
        </w:rPr>
        <w:t xml:space="preserve">, Joseph A. </w:t>
      </w:r>
      <w:proofErr w:type="spellStart"/>
      <w:r w:rsidRPr="00F02A12">
        <w:rPr>
          <w:rFonts w:cs="Times New Roman"/>
          <w:sz w:val="20"/>
          <w:szCs w:val="20"/>
        </w:rPr>
        <w:t>McCahery</w:t>
      </w:r>
      <w:proofErr w:type="spellEnd"/>
      <w:r w:rsidRPr="00F02A12">
        <w:rPr>
          <w:rFonts w:cs="Times New Roman"/>
          <w:sz w:val="20"/>
          <w:szCs w:val="20"/>
        </w:rPr>
        <w:t xml:space="preserve">, Erik P. M. </w:t>
      </w:r>
      <w:proofErr w:type="spellStart"/>
      <w:r w:rsidRPr="00F02A12">
        <w:rPr>
          <w:rFonts w:cs="Times New Roman"/>
          <w:sz w:val="20"/>
          <w:szCs w:val="20"/>
        </w:rPr>
        <w:t>Vermeulen</w:t>
      </w:r>
      <w:proofErr w:type="spellEnd"/>
      <w:r w:rsidRPr="00F02A12">
        <w:rPr>
          <w:rFonts w:cs="Times New Roman"/>
          <w:sz w:val="20"/>
          <w:szCs w:val="20"/>
        </w:rPr>
        <w:t xml:space="preserve"> &amp; Priyanka </w:t>
      </w:r>
      <w:proofErr w:type="spellStart"/>
      <w:r w:rsidRPr="00F02A12">
        <w:rPr>
          <w:rFonts w:cs="Times New Roman"/>
          <w:sz w:val="20"/>
          <w:szCs w:val="20"/>
        </w:rPr>
        <w:t>Priydershini</w:t>
      </w:r>
      <w:proofErr w:type="spellEnd"/>
      <w:r w:rsidRPr="00F02A12">
        <w:rPr>
          <w:rFonts w:cs="Times New Roman"/>
          <w:sz w:val="20"/>
          <w:szCs w:val="20"/>
        </w:rPr>
        <w:t xml:space="preserve">, </w:t>
      </w:r>
      <w:r w:rsidRPr="00F02A12">
        <w:rPr>
          <w:rFonts w:cs="Times New Roman"/>
          <w:i/>
          <w:sz w:val="20"/>
          <w:szCs w:val="20"/>
        </w:rPr>
        <w:t xml:space="preserve">A Primer on the </w:t>
      </w:r>
      <w:proofErr w:type="spellStart"/>
      <w:r w:rsidRPr="00F02A12">
        <w:rPr>
          <w:rFonts w:cs="Times New Roman"/>
          <w:i/>
          <w:sz w:val="20"/>
          <w:szCs w:val="20"/>
        </w:rPr>
        <w:t>Uncorporation</w:t>
      </w:r>
      <w:proofErr w:type="spellEnd"/>
      <w:r w:rsidRPr="00F02A12">
        <w:rPr>
          <w:rFonts w:cs="Times New Roman"/>
          <w:sz w:val="20"/>
          <w:szCs w:val="20"/>
        </w:rPr>
        <w:t xml:space="preserve">, 14 </w:t>
      </w:r>
      <w:r w:rsidRPr="00F02A12">
        <w:rPr>
          <w:rFonts w:cs="Times New Roman"/>
          <w:smallCaps/>
          <w:sz w:val="20"/>
          <w:szCs w:val="20"/>
        </w:rPr>
        <w:t>Eur. Bus. Org. L. Rev.</w:t>
      </w:r>
      <w:r w:rsidRPr="00F02A12">
        <w:rPr>
          <w:rFonts w:cs="Times New Roman"/>
          <w:sz w:val="20"/>
          <w:szCs w:val="20"/>
        </w:rPr>
        <w:t xml:space="preserve"> 305 (2013); </w:t>
      </w:r>
      <w:r w:rsidRPr="00F02A12">
        <w:rPr>
          <w:rFonts w:cs="Times New Roman"/>
          <w:smallCaps/>
          <w:sz w:val="20"/>
          <w:szCs w:val="20"/>
        </w:rPr>
        <w:t xml:space="preserve">Larry E. </w:t>
      </w:r>
      <w:proofErr w:type="spellStart"/>
      <w:r w:rsidRPr="00F02A12">
        <w:rPr>
          <w:rFonts w:cs="Times New Roman"/>
          <w:smallCaps/>
          <w:sz w:val="20"/>
          <w:szCs w:val="20"/>
        </w:rPr>
        <w:t>Ribstein</w:t>
      </w:r>
      <w:proofErr w:type="spellEnd"/>
      <w:r w:rsidRPr="00F02A12">
        <w:rPr>
          <w:rFonts w:cs="Times New Roman"/>
          <w:smallCaps/>
          <w:sz w:val="20"/>
          <w:szCs w:val="20"/>
        </w:rPr>
        <w:t xml:space="preserve">, The Rise of the </w:t>
      </w:r>
      <w:proofErr w:type="spellStart"/>
      <w:r w:rsidRPr="00F02A12">
        <w:rPr>
          <w:rFonts w:cs="Times New Roman"/>
          <w:smallCaps/>
          <w:sz w:val="20"/>
          <w:szCs w:val="20"/>
        </w:rPr>
        <w:t>Uncorporation</w:t>
      </w:r>
      <w:proofErr w:type="spellEnd"/>
      <w:r w:rsidRPr="00F02A12">
        <w:rPr>
          <w:rFonts w:cs="Times New Roman"/>
          <w:smallCaps/>
          <w:sz w:val="20"/>
          <w:szCs w:val="20"/>
        </w:rPr>
        <w:t xml:space="preserve"> (2010). </w:t>
      </w:r>
    </w:p>
  </w:footnote>
  <w:footnote w:id="10">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lang w:val="pt-BR"/>
        </w:rPr>
        <w:t xml:space="preserve"> </w:t>
      </w:r>
      <w:proofErr w:type="spellStart"/>
      <w:r w:rsidRPr="00F02A12">
        <w:rPr>
          <w:rFonts w:cs="Times New Roman"/>
          <w:i/>
          <w:sz w:val="20"/>
          <w:szCs w:val="20"/>
          <w:lang w:val="pt-BR"/>
        </w:rPr>
        <w:t>See</w:t>
      </w:r>
      <w:proofErr w:type="spellEnd"/>
      <w:r w:rsidRPr="00F02A12">
        <w:rPr>
          <w:rFonts w:cs="Times New Roman"/>
          <w:i/>
          <w:sz w:val="20"/>
          <w:szCs w:val="20"/>
          <w:lang w:val="pt-BR"/>
        </w:rPr>
        <w:t xml:space="preserve"> </w:t>
      </w:r>
      <w:r w:rsidRPr="00F02A12">
        <w:rPr>
          <w:rFonts w:cs="Times New Roman"/>
          <w:sz w:val="20"/>
          <w:szCs w:val="20"/>
          <w:lang w:val="pt-BR"/>
        </w:rPr>
        <w:t>Mariana Pargendler,</w:t>
      </w:r>
      <w:r w:rsidRPr="00F02A12">
        <w:rPr>
          <w:rFonts w:cs="Times New Roman"/>
          <w:i/>
          <w:sz w:val="20"/>
          <w:szCs w:val="20"/>
          <w:lang w:val="pt-BR"/>
        </w:rPr>
        <w:t xml:space="preserve"> O Direito Societário em Ação: Análise Empírica e Proposições de Reforma</w:t>
      </w:r>
      <w:r w:rsidRPr="00F02A12">
        <w:rPr>
          <w:rFonts w:cs="Times New Roman"/>
          <w:sz w:val="20"/>
          <w:szCs w:val="20"/>
          <w:lang w:val="pt-BR"/>
        </w:rPr>
        <w:t xml:space="preserve">, </w:t>
      </w:r>
      <w:proofErr w:type="gramStart"/>
      <w:r w:rsidRPr="00F02A12">
        <w:rPr>
          <w:rFonts w:cs="Times New Roman"/>
          <w:sz w:val="20"/>
          <w:szCs w:val="20"/>
          <w:lang w:val="pt-BR"/>
        </w:rPr>
        <w:t xml:space="preserve">59 </w:t>
      </w:r>
      <w:r w:rsidRPr="00F02A12">
        <w:rPr>
          <w:rFonts w:cs="Times New Roman"/>
          <w:smallCaps/>
          <w:sz w:val="20"/>
          <w:szCs w:val="20"/>
          <w:lang w:val="pt-BR"/>
        </w:rPr>
        <w:t>Revista</w:t>
      </w:r>
      <w:proofErr w:type="gramEnd"/>
      <w:r w:rsidRPr="00F02A12">
        <w:rPr>
          <w:rFonts w:cs="Times New Roman"/>
          <w:smallCaps/>
          <w:sz w:val="20"/>
          <w:szCs w:val="20"/>
          <w:lang w:val="pt-BR"/>
        </w:rPr>
        <w:t xml:space="preserve"> de Direito Bancário e do Mercado de Capitais 215</w:t>
      </w:r>
      <w:r w:rsidRPr="00F02A12">
        <w:rPr>
          <w:rFonts w:cs="Times New Roman"/>
          <w:sz w:val="20"/>
          <w:szCs w:val="20"/>
          <w:lang w:val="pt-BR"/>
        </w:rPr>
        <w:t xml:space="preserve"> (2013) (</w:t>
      </w:r>
      <w:proofErr w:type="spellStart"/>
      <w:r w:rsidRPr="00F02A12">
        <w:rPr>
          <w:rFonts w:cs="Times New Roman"/>
          <w:sz w:val="20"/>
          <w:szCs w:val="20"/>
          <w:lang w:val="pt-BR"/>
        </w:rPr>
        <w:t>reporting</w:t>
      </w:r>
      <w:proofErr w:type="spellEnd"/>
      <w:r w:rsidRPr="00F02A12">
        <w:rPr>
          <w:rFonts w:cs="Times New Roman"/>
          <w:sz w:val="20"/>
          <w:szCs w:val="20"/>
          <w:lang w:val="pt-BR"/>
        </w:rPr>
        <w:t xml:space="preserve"> </w:t>
      </w:r>
      <w:proofErr w:type="spellStart"/>
      <w:r w:rsidRPr="00F02A12">
        <w:rPr>
          <w:rFonts w:cs="Times New Roman"/>
          <w:sz w:val="20"/>
          <w:szCs w:val="20"/>
          <w:lang w:val="pt-BR"/>
        </w:rPr>
        <w:t>that</w:t>
      </w:r>
      <w:proofErr w:type="spellEnd"/>
      <w:r w:rsidRPr="00F02A12">
        <w:rPr>
          <w:rFonts w:cs="Times New Roman"/>
          <w:sz w:val="20"/>
          <w:szCs w:val="20"/>
          <w:lang w:val="pt-BR"/>
        </w:rPr>
        <w:t xml:space="preserve"> </w:t>
      </w:r>
      <w:r w:rsidRPr="00F02A12">
        <w:rPr>
          <w:rFonts w:cs="Times New Roman"/>
          <w:i/>
          <w:sz w:val="20"/>
          <w:szCs w:val="20"/>
          <w:lang w:val="pt-BR"/>
        </w:rPr>
        <w:t xml:space="preserve">limitadas </w:t>
      </w:r>
      <w:proofErr w:type="spellStart"/>
      <w:r w:rsidRPr="00F02A12">
        <w:rPr>
          <w:rFonts w:cs="Times New Roman"/>
          <w:sz w:val="20"/>
          <w:szCs w:val="20"/>
          <w:lang w:val="pt-BR"/>
        </w:rPr>
        <w:t>accounted</w:t>
      </w:r>
      <w:proofErr w:type="spellEnd"/>
      <w:r w:rsidRPr="00F02A12">
        <w:rPr>
          <w:rFonts w:cs="Times New Roman"/>
          <w:sz w:val="20"/>
          <w:szCs w:val="20"/>
          <w:lang w:val="pt-BR"/>
        </w:rPr>
        <w:t xml:space="preserve"> for 98.68% </w:t>
      </w:r>
      <w:proofErr w:type="spellStart"/>
      <w:r w:rsidRPr="00F02A12">
        <w:rPr>
          <w:rFonts w:cs="Times New Roman"/>
          <w:sz w:val="20"/>
          <w:szCs w:val="20"/>
          <w:lang w:val="pt-BR"/>
        </w:rPr>
        <w:t>and</w:t>
      </w:r>
      <w:proofErr w:type="spellEnd"/>
      <w:r w:rsidRPr="00F02A12">
        <w:rPr>
          <w:rFonts w:cs="Times New Roman"/>
          <w:sz w:val="20"/>
          <w:szCs w:val="20"/>
          <w:lang w:val="pt-BR"/>
        </w:rPr>
        <w:t xml:space="preserve"> </w:t>
      </w:r>
      <w:proofErr w:type="spellStart"/>
      <w:r w:rsidRPr="00F02A12">
        <w:rPr>
          <w:rFonts w:cs="Times New Roman"/>
          <w:sz w:val="20"/>
          <w:szCs w:val="20"/>
          <w:lang w:val="pt-BR"/>
        </w:rPr>
        <w:t>SAs</w:t>
      </w:r>
      <w:proofErr w:type="spellEnd"/>
      <w:r w:rsidRPr="00F02A12">
        <w:rPr>
          <w:rFonts w:cs="Times New Roman"/>
          <w:sz w:val="20"/>
          <w:szCs w:val="20"/>
          <w:lang w:val="pt-BR"/>
        </w:rPr>
        <w:t xml:space="preserve"> for 0.95% </w:t>
      </w:r>
      <w:proofErr w:type="spellStart"/>
      <w:r w:rsidRPr="00F02A12">
        <w:rPr>
          <w:rFonts w:cs="Times New Roman"/>
          <w:sz w:val="20"/>
          <w:szCs w:val="20"/>
          <w:lang w:val="pt-BR"/>
        </w:rPr>
        <w:t>of</w:t>
      </w:r>
      <w:proofErr w:type="spellEnd"/>
      <w:r w:rsidRPr="00F02A12">
        <w:rPr>
          <w:rFonts w:cs="Times New Roman"/>
          <w:sz w:val="20"/>
          <w:szCs w:val="20"/>
          <w:lang w:val="pt-BR"/>
        </w:rPr>
        <w:t xml:space="preserve"> </w:t>
      </w:r>
      <w:proofErr w:type="spellStart"/>
      <w:r w:rsidRPr="00F02A12">
        <w:rPr>
          <w:rFonts w:cs="Times New Roman"/>
          <w:sz w:val="20"/>
          <w:szCs w:val="20"/>
          <w:lang w:val="pt-BR"/>
        </w:rPr>
        <w:t>companies</w:t>
      </w:r>
      <w:proofErr w:type="spellEnd"/>
      <w:r w:rsidRPr="00F02A12">
        <w:rPr>
          <w:rFonts w:cs="Times New Roman"/>
          <w:sz w:val="20"/>
          <w:szCs w:val="20"/>
          <w:lang w:val="pt-BR"/>
        </w:rPr>
        <w:t xml:space="preserve"> </w:t>
      </w:r>
      <w:proofErr w:type="spellStart"/>
      <w:r w:rsidRPr="00F02A12">
        <w:rPr>
          <w:rFonts w:cs="Times New Roman"/>
          <w:sz w:val="20"/>
          <w:szCs w:val="20"/>
          <w:lang w:val="pt-BR"/>
        </w:rPr>
        <w:t>registered</w:t>
      </w:r>
      <w:proofErr w:type="spellEnd"/>
      <w:r w:rsidRPr="00F02A12">
        <w:rPr>
          <w:rFonts w:cs="Times New Roman"/>
          <w:sz w:val="20"/>
          <w:szCs w:val="20"/>
          <w:lang w:val="pt-BR"/>
        </w:rPr>
        <w:t xml:space="preserve"> </w:t>
      </w:r>
      <w:proofErr w:type="spellStart"/>
      <w:r w:rsidRPr="00F02A12">
        <w:rPr>
          <w:rFonts w:cs="Times New Roman"/>
          <w:sz w:val="20"/>
          <w:szCs w:val="20"/>
          <w:lang w:val="pt-BR"/>
        </w:rPr>
        <w:t>with</w:t>
      </w:r>
      <w:proofErr w:type="spellEnd"/>
      <w:r w:rsidRPr="00F02A12">
        <w:rPr>
          <w:rFonts w:cs="Times New Roman"/>
          <w:sz w:val="20"/>
          <w:szCs w:val="20"/>
          <w:lang w:val="pt-BR"/>
        </w:rPr>
        <w:t xml:space="preserve"> </w:t>
      </w:r>
      <w:proofErr w:type="spellStart"/>
      <w:r w:rsidRPr="00F02A12">
        <w:rPr>
          <w:rFonts w:cs="Times New Roman"/>
          <w:sz w:val="20"/>
          <w:szCs w:val="20"/>
          <w:lang w:val="pt-BR"/>
        </w:rPr>
        <w:t>the</w:t>
      </w:r>
      <w:proofErr w:type="spellEnd"/>
      <w:r w:rsidRPr="00F02A12">
        <w:rPr>
          <w:rFonts w:cs="Times New Roman"/>
          <w:sz w:val="20"/>
          <w:szCs w:val="20"/>
          <w:lang w:val="pt-BR"/>
        </w:rPr>
        <w:t xml:space="preserve"> </w:t>
      </w:r>
      <w:proofErr w:type="spellStart"/>
      <w:r w:rsidRPr="00F02A12">
        <w:rPr>
          <w:rFonts w:cs="Times New Roman"/>
          <w:sz w:val="20"/>
          <w:szCs w:val="20"/>
          <w:lang w:val="pt-BR"/>
        </w:rPr>
        <w:t>Commercial</w:t>
      </w:r>
      <w:proofErr w:type="spellEnd"/>
      <w:r w:rsidRPr="00F02A12">
        <w:rPr>
          <w:rFonts w:cs="Times New Roman"/>
          <w:sz w:val="20"/>
          <w:szCs w:val="20"/>
          <w:lang w:val="pt-BR"/>
        </w:rPr>
        <w:t xml:space="preserve"> Registry </w:t>
      </w:r>
      <w:proofErr w:type="spellStart"/>
      <w:r w:rsidRPr="00F02A12">
        <w:rPr>
          <w:rFonts w:cs="Times New Roman"/>
          <w:sz w:val="20"/>
          <w:szCs w:val="20"/>
          <w:lang w:val="pt-BR"/>
        </w:rPr>
        <w:t>of</w:t>
      </w:r>
      <w:proofErr w:type="spellEnd"/>
      <w:r w:rsidRPr="00F02A12">
        <w:rPr>
          <w:rFonts w:cs="Times New Roman"/>
          <w:sz w:val="20"/>
          <w:szCs w:val="20"/>
          <w:lang w:val="pt-BR"/>
        </w:rPr>
        <w:t xml:space="preserve"> </w:t>
      </w:r>
      <w:proofErr w:type="spellStart"/>
      <w:r w:rsidRPr="00F02A12">
        <w:rPr>
          <w:rFonts w:cs="Times New Roman"/>
          <w:sz w:val="20"/>
          <w:szCs w:val="20"/>
          <w:lang w:val="pt-BR"/>
        </w:rPr>
        <w:t>the</w:t>
      </w:r>
      <w:proofErr w:type="spellEnd"/>
      <w:r w:rsidRPr="00F02A12">
        <w:rPr>
          <w:rFonts w:cs="Times New Roman"/>
          <w:sz w:val="20"/>
          <w:szCs w:val="20"/>
          <w:lang w:val="pt-BR"/>
        </w:rPr>
        <w:t xml:space="preserve"> </w:t>
      </w:r>
      <w:proofErr w:type="spellStart"/>
      <w:r w:rsidRPr="00F02A12">
        <w:rPr>
          <w:rFonts w:cs="Times New Roman"/>
          <w:sz w:val="20"/>
          <w:szCs w:val="20"/>
          <w:lang w:val="pt-BR"/>
        </w:rPr>
        <w:t>State</w:t>
      </w:r>
      <w:proofErr w:type="spellEnd"/>
      <w:r w:rsidRPr="00F02A12">
        <w:rPr>
          <w:rFonts w:cs="Times New Roman"/>
          <w:sz w:val="20"/>
          <w:szCs w:val="20"/>
          <w:lang w:val="pt-BR"/>
        </w:rPr>
        <w:t xml:space="preserve"> </w:t>
      </w:r>
      <w:proofErr w:type="spellStart"/>
      <w:r w:rsidRPr="00F02A12">
        <w:rPr>
          <w:rFonts w:cs="Times New Roman"/>
          <w:sz w:val="20"/>
          <w:szCs w:val="20"/>
          <w:lang w:val="pt-BR"/>
        </w:rPr>
        <w:t>of</w:t>
      </w:r>
      <w:proofErr w:type="spellEnd"/>
      <w:r w:rsidRPr="00F02A12">
        <w:rPr>
          <w:rFonts w:cs="Times New Roman"/>
          <w:sz w:val="20"/>
          <w:szCs w:val="20"/>
          <w:lang w:val="pt-BR"/>
        </w:rPr>
        <w:t xml:space="preserve"> São Paulo (JUCESP). </w:t>
      </w:r>
      <w:r w:rsidRPr="00F02A12">
        <w:rPr>
          <w:rFonts w:cs="Times New Roman"/>
          <w:sz w:val="20"/>
          <w:szCs w:val="20"/>
        </w:rPr>
        <w:t xml:space="preserve">In Brazil, </w:t>
      </w:r>
      <w:r>
        <w:rPr>
          <w:rFonts w:cs="Times New Roman"/>
          <w:sz w:val="20"/>
          <w:szCs w:val="20"/>
        </w:rPr>
        <w:t xml:space="preserve">the </w:t>
      </w:r>
      <w:r w:rsidRPr="00F02A12">
        <w:rPr>
          <w:rFonts w:cs="Times New Roman"/>
          <w:sz w:val="20"/>
          <w:szCs w:val="20"/>
        </w:rPr>
        <w:t xml:space="preserve">tax laws are not </w:t>
      </w:r>
      <w:r>
        <w:rPr>
          <w:rFonts w:cs="Times New Roman"/>
          <w:sz w:val="20"/>
          <w:szCs w:val="20"/>
        </w:rPr>
        <w:t xml:space="preserve">usually </w:t>
      </w:r>
      <w:r w:rsidRPr="00F02A12">
        <w:rPr>
          <w:rFonts w:cs="Times New Roman"/>
          <w:sz w:val="20"/>
          <w:szCs w:val="20"/>
        </w:rPr>
        <w:t>a main consideration in th</w:t>
      </w:r>
      <w:r>
        <w:rPr>
          <w:rFonts w:cs="Times New Roman"/>
          <w:sz w:val="20"/>
          <w:szCs w:val="20"/>
        </w:rPr>
        <w:t xml:space="preserve">e choice of organizational form. The same tax rules generally apply to both SAs and </w:t>
      </w:r>
      <w:proofErr w:type="spellStart"/>
      <w:r>
        <w:rPr>
          <w:rFonts w:cs="Times New Roman"/>
          <w:i/>
          <w:sz w:val="20"/>
          <w:szCs w:val="20"/>
        </w:rPr>
        <w:t>limitadas</w:t>
      </w:r>
      <w:proofErr w:type="spellEnd"/>
      <w:r>
        <w:rPr>
          <w:rFonts w:cs="Times New Roman"/>
          <w:sz w:val="20"/>
          <w:szCs w:val="20"/>
        </w:rPr>
        <w:t>, taxing the entity but not its members or</w:t>
      </w:r>
      <w:r w:rsidRPr="00F02A12">
        <w:rPr>
          <w:rFonts w:cs="Times New Roman"/>
          <w:sz w:val="20"/>
          <w:szCs w:val="20"/>
        </w:rPr>
        <w:t xml:space="preserve"> shareholders (since dividend distributions are currently exempt from tax). The main exception concerns small and medium enterprises seeking to benefit from the simplified and lower tax regime called SIMPLES, which does not apply to SAs.</w:t>
      </w:r>
    </w:p>
  </w:footnote>
  <w:footnote w:id="1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Law 4,728 of July 14, 1965, Art. 50. Condominiums under Brazilian law display some of the attributes of legal personality, such as the ability to sign contracts through a representative and to sue and </w:t>
      </w:r>
      <w:proofErr w:type="gramStart"/>
      <w:r w:rsidRPr="00F02A12">
        <w:rPr>
          <w:sz w:val="20"/>
          <w:szCs w:val="20"/>
        </w:rPr>
        <w:t>be sued</w:t>
      </w:r>
      <w:proofErr w:type="gramEnd"/>
      <w:r w:rsidRPr="00F02A12">
        <w:rPr>
          <w:sz w:val="20"/>
          <w:szCs w:val="20"/>
        </w:rPr>
        <w:t xml:space="preserve"> in its own name. However, not being a legal entity, the condominium is unable to own property, which </w:t>
      </w:r>
      <w:proofErr w:type="gramStart"/>
      <w:r w:rsidRPr="00F02A12">
        <w:rPr>
          <w:sz w:val="20"/>
          <w:szCs w:val="20"/>
        </w:rPr>
        <w:t>is held</w:t>
      </w:r>
      <w:proofErr w:type="gramEnd"/>
      <w:r w:rsidRPr="00F02A12">
        <w:rPr>
          <w:sz w:val="20"/>
          <w:szCs w:val="20"/>
        </w:rPr>
        <w:t xml:space="preserve"> by the beneficiaries as tenants in common. </w:t>
      </w:r>
    </w:p>
  </w:footnote>
  <w:footnote w:id="12">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On the view of corporate law as the “glue” binding the corporation together, </w:t>
      </w:r>
      <w:r w:rsidRPr="00F02A12">
        <w:rPr>
          <w:i/>
          <w:sz w:val="20"/>
          <w:szCs w:val="20"/>
        </w:rPr>
        <w:t xml:space="preserve">see </w:t>
      </w:r>
      <w:r w:rsidRPr="00F02A12">
        <w:rPr>
          <w:sz w:val="20"/>
          <w:szCs w:val="20"/>
        </w:rPr>
        <w:t xml:space="preserve">Simon Deakin, David </w:t>
      </w:r>
      <w:proofErr w:type="spellStart"/>
      <w:r w:rsidRPr="00F02A12">
        <w:rPr>
          <w:sz w:val="20"/>
          <w:szCs w:val="20"/>
        </w:rPr>
        <w:t>Gindis</w:t>
      </w:r>
      <w:proofErr w:type="spellEnd"/>
      <w:r w:rsidRPr="00F02A12">
        <w:rPr>
          <w:sz w:val="20"/>
          <w:szCs w:val="20"/>
        </w:rPr>
        <w:t xml:space="preserve">, Geoffrey Hodgson, </w:t>
      </w:r>
      <w:proofErr w:type="spellStart"/>
      <w:r w:rsidRPr="00F02A12">
        <w:rPr>
          <w:sz w:val="20"/>
          <w:szCs w:val="20"/>
        </w:rPr>
        <w:t>Kainan</w:t>
      </w:r>
      <w:proofErr w:type="spellEnd"/>
      <w:r w:rsidRPr="00F02A12">
        <w:rPr>
          <w:sz w:val="20"/>
          <w:szCs w:val="20"/>
        </w:rPr>
        <w:t xml:space="preserve"> Huang &amp; Katharina </w:t>
      </w:r>
      <w:proofErr w:type="spellStart"/>
      <w:r w:rsidRPr="00F02A12">
        <w:rPr>
          <w:sz w:val="20"/>
          <w:szCs w:val="20"/>
        </w:rPr>
        <w:t>Pistor</w:t>
      </w:r>
      <w:proofErr w:type="spellEnd"/>
      <w:r w:rsidRPr="00F02A12">
        <w:rPr>
          <w:sz w:val="20"/>
          <w:szCs w:val="20"/>
        </w:rPr>
        <w:t xml:space="preserve">, </w:t>
      </w:r>
      <w:r w:rsidRPr="00F02A12">
        <w:rPr>
          <w:i/>
          <w:sz w:val="20"/>
          <w:szCs w:val="20"/>
        </w:rPr>
        <w:t>Legal Institutionalism: Capitalism and the Constitutive Role of Law</w:t>
      </w:r>
      <w:r w:rsidRPr="00F02A12">
        <w:rPr>
          <w:sz w:val="20"/>
          <w:szCs w:val="20"/>
        </w:rPr>
        <w:t xml:space="preserve"> </w:t>
      </w:r>
      <w:r>
        <w:rPr>
          <w:sz w:val="20"/>
          <w:szCs w:val="20"/>
        </w:rPr>
        <w:t>(working paper,</w:t>
      </w:r>
      <w:r w:rsidRPr="00F02A12">
        <w:rPr>
          <w:sz w:val="20"/>
          <w:szCs w:val="20"/>
        </w:rPr>
        <w:t xml:space="preserve"> 2015)</w:t>
      </w:r>
      <w:r>
        <w:rPr>
          <w:sz w:val="20"/>
          <w:szCs w:val="20"/>
        </w:rPr>
        <w:t xml:space="preserve">, </w:t>
      </w:r>
      <w:hyperlink r:id="rId1" w:history="1">
        <w:r w:rsidRPr="00C114B9">
          <w:rPr>
            <w:rStyle w:val="Hyperlink"/>
            <w:sz w:val="20"/>
            <w:szCs w:val="20"/>
          </w:rPr>
          <w:t>https://ssrn.com/abstract=2601035</w:t>
        </w:r>
      </w:hyperlink>
      <w:r w:rsidRPr="00F02A12">
        <w:rPr>
          <w:sz w:val="20"/>
          <w:szCs w:val="20"/>
        </w:rPr>
        <w:t xml:space="preserve">.  </w:t>
      </w:r>
    </w:p>
  </w:footnote>
  <w:footnote w:id="13">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bCs/>
          <w:i/>
          <w:sz w:val="20"/>
          <w:szCs w:val="20"/>
        </w:rPr>
        <w:t>See</w:t>
      </w:r>
      <w:r w:rsidRPr="00F02A12">
        <w:rPr>
          <w:rFonts w:cs="Times New Roman"/>
          <w:sz w:val="20"/>
          <w:szCs w:val="20"/>
        </w:rPr>
        <w:t xml:space="preserve"> </w:t>
      </w:r>
      <w:r w:rsidRPr="00F02A12">
        <w:rPr>
          <w:rFonts w:cs="Times New Roman"/>
          <w:bCs/>
          <w:sz w:val="20"/>
          <w:szCs w:val="20"/>
        </w:rPr>
        <w:t>Daniel Berkowitz</w:t>
      </w:r>
      <w:r w:rsidRPr="00F02A12">
        <w:rPr>
          <w:rFonts w:cs="Times New Roman"/>
          <w:sz w:val="20"/>
          <w:szCs w:val="20"/>
        </w:rPr>
        <w:t xml:space="preserve">, </w:t>
      </w:r>
      <w:r w:rsidRPr="00F02A12">
        <w:rPr>
          <w:rFonts w:cs="Times New Roman"/>
          <w:bCs/>
          <w:sz w:val="20"/>
          <w:szCs w:val="20"/>
        </w:rPr>
        <w:t xml:space="preserve">Katharina </w:t>
      </w:r>
      <w:proofErr w:type="spellStart"/>
      <w:r w:rsidRPr="00F02A12">
        <w:rPr>
          <w:rFonts w:cs="Times New Roman"/>
          <w:bCs/>
          <w:sz w:val="20"/>
          <w:szCs w:val="20"/>
        </w:rPr>
        <w:t>Pistor</w:t>
      </w:r>
      <w:proofErr w:type="spellEnd"/>
      <w:r w:rsidRPr="00F02A12">
        <w:rPr>
          <w:rFonts w:cs="Times New Roman"/>
          <w:sz w:val="20"/>
          <w:szCs w:val="20"/>
        </w:rPr>
        <w:t xml:space="preserve"> &amp; </w:t>
      </w:r>
      <w:r w:rsidRPr="00F02A12">
        <w:rPr>
          <w:rFonts w:cs="Times New Roman"/>
          <w:bCs/>
          <w:sz w:val="20"/>
          <w:szCs w:val="20"/>
        </w:rPr>
        <w:t xml:space="preserve">Jean-Francois Richard, </w:t>
      </w:r>
      <w:r w:rsidRPr="00F02A12">
        <w:rPr>
          <w:rFonts w:cs="Times New Roman"/>
          <w:bCs/>
          <w:i/>
          <w:sz w:val="20"/>
          <w:szCs w:val="20"/>
        </w:rPr>
        <w:t>The Transplant Effect</w:t>
      </w:r>
      <w:r w:rsidRPr="00F02A12">
        <w:rPr>
          <w:rFonts w:cs="Times New Roman"/>
          <w:bCs/>
          <w:sz w:val="20"/>
          <w:szCs w:val="20"/>
        </w:rPr>
        <w:t xml:space="preserve">, 51 </w:t>
      </w:r>
      <w:r w:rsidRPr="00F02A12">
        <w:rPr>
          <w:rFonts w:cs="Times New Roman"/>
          <w:bCs/>
          <w:smallCaps/>
          <w:sz w:val="20"/>
          <w:szCs w:val="20"/>
        </w:rPr>
        <w:t>Am. J. Comp. L.</w:t>
      </w:r>
      <w:r w:rsidRPr="00F02A12">
        <w:rPr>
          <w:rFonts w:cs="Times New Roman"/>
          <w:bCs/>
          <w:sz w:val="20"/>
          <w:szCs w:val="20"/>
        </w:rPr>
        <w:t xml:space="preserve"> 163 (2003) (arguing that legal transplants are unlikely to be effective unless they map principles that are already familiar internally or are adapted to the new context).</w:t>
      </w:r>
    </w:p>
  </w:footnote>
  <w:footnote w:id="14">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For an application of path dependence to the corporate context, </w:t>
      </w:r>
      <w:r w:rsidRPr="00F02A12">
        <w:rPr>
          <w:rFonts w:cs="Times New Roman"/>
          <w:i/>
          <w:sz w:val="20"/>
          <w:szCs w:val="20"/>
        </w:rPr>
        <w:t>see</w:t>
      </w:r>
      <w:r w:rsidRPr="00F02A12">
        <w:rPr>
          <w:rFonts w:cs="Times New Roman"/>
          <w:sz w:val="20"/>
          <w:szCs w:val="20"/>
        </w:rPr>
        <w:t xml:space="preserve">, </w:t>
      </w:r>
      <w:r w:rsidRPr="00F02A12">
        <w:rPr>
          <w:rFonts w:cs="Times New Roman"/>
          <w:i/>
          <w:sz w:val="20"/>
          <w:szCs w:val="20"/>
        </w:rPr>
        <w:t>e.g.</w:t>
      </w:r>
      <w:r w:rsidRPr="00F02A12">
        <w:rPr>
          <w:rFonts w:cs="Times New Roman"/>
          <w:sz w:val="20"/>
          <w:szCs w:val="20"/>
        </w:rPr>
        <w:t xml:space="preserve">, Lucian </w:t>
      </w:r>
      <w:proofErr w:type="spellStart"/>
      <w:r w:rsidRPr="00F02A12">
        <w:rPr>
          <w:rFonts w:cs="Times New Roman"/>
          <w:sz w:val="20"/>
          <w:szCs w:val="20"/>
        </w:rPr>
        <w:t>Bebchuk</w:t>
      </w:r>
      <w:proofErr w:type="spellEnd"/>
      <w:r w:rsidRPr="00F02A12">
        <w:rPr>
          <w:rFonts w:cs="Times New Roman"/>
          <w:sz w:val="20"/>
          <w:szCs w:val="20"/>
        </w:rPr>
        <w:t xml:space="preserve"> &amp; Mark Roe, </w:t>
      </w:r>
      <w:r w:rsidRPr="00F02A12">
        <w:rPr>
          <w:rFonts w:cs="Times New Roman"/>
          <w:i/>
          <w:sz w:val="20"/>
          <w:szCs w:val="20"/>
        </w:rPr>
        <w:t>A Theory of Path Dependence in Corporate Ownership and Governance</w:t>
      </w:r>
      <w:r w:rsidRPr="00F02A12">
        <w:rPr>
          <w:rFonts w:cs="Times New Roman"/>
          <w:sz w:val="20"/>
          <w:szCs w:val="20"/>
        </w:rPr>
        <w:t xml:space="preserve">, </w:t>
      </w:r>
      <w:r w:rsidRPr="00F02A12">
        <w:rPr>
          <w:rFonts w:cs="Times New Roman"/>
          <w:smallCaps/>
          <w:sz w:val="20"/>
          <w:szCs w:val="20"/>
        </w:rPr>
        <w:t>52 Stan. L. Rev.</w:t>
      </w:r>
      <w:r w:rsidRPr="00F02A12">
        <w:rPr>
          <w:rFonts w:cs="Times New Roman"/>
          <w:sz w:val="20"/>
          <w:szCs w:val="20"/>
        </w:rPr>
        <w:t xml:space="preserve"> 127 (1999).  </w:t>
      </w:r>
    </w:p>
  </w:footnote>
  <w:footnote w:id="15">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i/>
          <w:sz w:val="20"/>
          <w:szCs w:val="20"/>
        </w:rPr>
        <w:t>Id.</w:t>
      </w:r>
    </w:p>
  </w:footnote>
  <w:footnote w:id="1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proofErr w:type="gramStart"/>
      <w:r w:rsidRPr="00F02A12">
        <w:rPr>
          <w:rFonts w:cs="YaleDesign"/>
          <w:sz w:val="20"/>
          <w:szCs w:val="20"/>
        </w:rPr>
        <w:t>1</w:t>
      </w:r>
      <w:proofErr w:type="gramEnd"/>
      <w:r w:rsidRPr="00F02A12">
        <w:rPr>
          <w:rFonts w:cs="YaleDesign"/>
          <w:sz w:val="20"/>
          <w:szCs w:val="20"/>
        </w:rPr>
        <w:t xml:space="preserve"> </w:t>
      </w:r>
      <w:r w:rsidRPr="00F02A12">
        <w:rPr>
          <w:rFonts w:cs="YaleDesign"/>
          <w:smallCaps/>
          <w:sz w:val="20"/>
          <w:szCs w:val="20"/>
        </w:rPr>
        <w:t>Adam Smith, The Wealth of Nations</w:t>
      </w:r>
      <w:r w:rsidRPr="00F02A12">
        <w:rPr>
          <w:rFonts w:cs="YaleDesign"/>
          <w:sz w:val="20"/>
          <w:szCs w:val="20"/>
        </w:rPr>
        <w:t xml:space="preserve"> 111-17 (P.F. Collier &amp; Son 1909) (1776).</w:t>
      </w:r>
    </w:p>
  </w:footnote>
  <w:footnote w:id="1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See, </w:t>
      </w:r>
      <w:r w:rsidRPr="00F02A12">
        <w:rPr>
          <w:i/>
          <w:sz w:val="20"/>
          <w:szCs w:val="20"/>
        </w:rPr>
        <w:t xml:space="preserve">e.g., </w:t>
      </w:r>
      <w:r w:rsidRPr="00F02A12">
        <w:rPr>
          <w:sz w:val="20"/>
          <w:szCs w:val="20"/>
        </w:rPr>
        <w:t xml:space="preserve">Steven </w:t>
      </w:r>
      <w:proofErr w:type="spellStart"/>
      <w:r w:rsidRPr="00F02A12">
        <w:rPr>
          <w:sz w:val="20"/>
          <w:szCs w:val="20"/>
        </w:rPr>
        <w:t>Shavell</w:t>
      </w:r>
      <w:proofErr w:type="spellEnd"/>
      <w:r w:rsidRPr="00F02A12">
        <w:rPr>
          <w:sz w:val="20"/>
          <w:szCs w:val="20"/>
        </w:rPr>
        <w:t xml:space="preserve">, </w:t>
      </w:r>
      <w:r w:rsidRPr="00F02A12">
        <w:rPr>
          <w:i/>
          <w:sz w:val="20"/>
          <w:szCs w:val="20"/>
        </w:rPr>
        <w:t>A Note on Efficiency vs. Distributional Equity in Legal Rulemaking: Should Distributional Equity Matter Given Optimal Income Taxation</w:t>
      </w:r>
      <w:proofErr w:type="gramStart"/>
      <w:r w:rsidRPr="00F02A12">
        <w:rPr>
          <w:i/>
          <w:sz w:val="20"/>
          <w:szCs w:val="20"/>
        </w:rPr>
        <w:t>?</w:t>
      </w:r>
      <w:r w:rsidRPr="00F02A12">
        <w:rPr>
          <w:sz w:val="20"/>
          <w:szCs w:val="20"/>
        </w:rPr>
        <w:t>,</w:t>
      </w:r>
      <w:proofErr w:type="gramEnd"/>
      <w:r w:rsidRPr="00F02A12">
        <w:rPr>
          <w:sz w:val="20"/>
          <w:szCs w:val="20"/>
        </w:rPr>
        <w:t xml:space="preserve"> 71 </w:t>
      </w:r>
      <w:r w:rsidRPr="00F02A12">
        <w:rPr>
          <w:smallCaps/>
          <w:sz w:val="20"/>
          <w:szCs w:val="20"/>
        </w:rPr>
        <w:t>Am. Econ. Rev.</w:t>
      </w:r>
      <w:r w:rsidRPr="00F02A12">
        <w:rPr>
          <w:sz w:val="20"/>
          <w:szCs w:val="20"/>
        </w:rPr>
        <w:t xml:space="preserve"> 414 (1981); Louis </w:t>
      </w:r>
      <w:proofErr w:type="spellStart"/>
      <w:r w:rsidRPr="00F02A12">
        <w:rPr>
          <w:sz w:val="20"/>
          <w:szCs w:val="20"/>
        </w:rPr>
        <w:t>Kaplow</w:t>
      </w:r>
      <w:proofErr w:type="spellEnd"/>
      <w:r w:rsidRPr="00F02A12">
        <w:rPr>
          <w:sz w:val="20"/>
          <w:szCs w:val="20"/>
        </w:rPr>
        <w:t xml:space="preserve"> &amp; Steven </w:t>
      </w:r>
      <w:proofErr w:type="spellStart"/>
      <w:r w:rsidRPr="00F02A12">
        <w:rPr>
          <w:sz w:val="20"/>
          <w:szCs w:val="20"/>
        </w:rPr>
        <w:t>Shavell</w:t>
      </w:r>
      <w:proofErr w:type="spellEnd"/>
      <w:r w:rsidRPr="00F02A12">
        <w:rPr>
          <w:sz w:val="20"/>
          <w:szCs w:val="20"/>
        </w:rPr>
        <w:t xml:space="preserve">, </w:t>
      </w:r>
      <w:r w:rsidRPr="00F02A12">
        <w:rPr>
          <w:i/>
          <w:sz w:val="20"/>
          <w:szCs w:val="20"/>
        </w:rPr>
        <w:t>Why the Legal System Is Less Efficient Than the Income Tax in Redistributing Income,</w:t>
      </w:r>
      <w:r w:rsidRPr="00F02A12">
        <w:rPr>
          <w:sz w:val="20"/>
          <w:szCs w:val="20"/>
        </w:rPr>
        <w:t xml:space="preserve"> 23 J</w:t>
      </w:r>
      <w:r w:rsidRPr="00F02A12">
        <w:rPr>
          <w:smallCaps/>
          <w:sz w:val="20"/>
          <w:szCs w:val="20"/>
        </w:rPr>
        <w:t>. Legal Stud</w:t>
      </w:r>
      <w:r w:rsidRPr="00F02A12">
        <w:rPr>
          <w:sz w:val="20"/>
          <w:szCs w:val="20"/>
        </w:rPr>
        <w:t xml:space="preserve">. 667 (1994)  </w:t>
      </w:r>
    </w:p>
  </w:footnote>
  <w:footnote w:id="18">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i/>
          <w:sz w:val="20"/>
          <w:szCs w:val="20"/>
        </w:rPr>
        <w:t xml:space="preserve">See </w:t>
      </w:r>
      <w:r w:rsidRPr="00F02A12">
        <w:rPr>
          <w:rFonts w:cs="Times New Roman"/>
          <w:sz w:val="20"/>
          <w:szCs w:val="20"/>
        </w:rPr>
        <w:t xml:space="preserve">Lee Anne Fennell &amp; Richard H. McAdams, </w:t>
      </w:r>
      <w:r w:rsidRPr="00F02A12">
        <w:rPr>
          <w:rFonts w:cs="Times New Roman"/>
          <w:i/>
          <w:sz w:val="20"/>
          <w:szCs w:val="20"/>
        </w:rPr>
        <w:t>The Distributive Deficit in Law and Economics</w:t>
      </w:r>
      <w:r w:rsidRPr="00F02A12">
        <w:rPr>
          <w:rFonts w:cs="Times New Roman"/>
          <w:sz w:val="20"/>
          <w:szCs w:val="20"/>
        </w:rPr>
        <w:t xml:space="preserve">, 100 </w:t>
      </w:r>
      <w:r w:rsidRPr="00F02A12">
        <w:rPr>
          <w:rFonts w:cs="Times New Roman"/>
          <w:smallCaps/>
          <w:sz w:val="20"/>
          <w:szCs w:val="20"/>
        </w:rPr>
        <w:t xml:space="preserve">Minn. L. Rev. </w:t>
      </w:r>
      <w:r w:rsidRPr="00F02A12">
        <w:rPr>
          <w:rFonts w:cs="Times New Roman"/>
          <w:sz w:val="20"/>
          <w:szCs w:val="20"/>
        </w:rPr>
        <w:t>1051 (2016)</w:t>
      </w:r>
      <w:proofErr w:type="gramStart"/>
      <w:r w:rsidRPr="00F02A12">
        <w:rPr>
          <w:rFonts w:cs="Times New Roman"/>
          <w:sz w:val="20"/>
          <w:szCs w:val="20"/>
        </w:rPr>
        <w:t>;</w:t>
      </w:r>
      <w:proofErr w:type="gramEnd"/>
      <w:r w:rsidRPr="00F02A12">
        <w:rPr>
          <w:rFonts w:cs="Times New Roman"/>
          <w:sz w:val="20"/>
          <w:szCs w:val="20"/>
        </w:rPr>
        <w:t xml:space="preserve"> Zachary D. </w:t>
      </w:r>
      <w:proofErr w:type="spellStart"/>
      <w:r w:rsidRPr="00F02A12">
        <w:rPr>
          <w:rFonts w:cs="Times New Roman"/>
          <w:sz w:val="20"/>
          <w:szCs w:val="20"/>
        </w:rPr>
        <w:t>Liscow</w:t>
      </w:r>
      <w:proofErr w:type="spellEnd"/>
      <w:r w:rsidRPr="00F02A12">
        <w:rPr>
          <w:rFonts w:cs="Times New Roman"/>
          <w:sz w:val="20"/>
          <w:szCs w:val="20"/>
        </w:rPr>
        <w:t xml:space="preserve">, </w:t>
      </w:r>
      <w:r w:rsidRPr="00F02A12">
        <w:rPr>
          <w:rFonts w:cs="Times New Roman"/>
          <w:i/>
          <w:sz w:val="20"/>
          <w:szCs w:val="20"/>
        </w:rPr>
        <w:t>Reducing Inequality on the Cheap: When Legal Rule Design Should Incorporate Equity as Well as Efficiency</w:t>
      </w:r>
      <w:r w:rsidRPr="00F02A12">
        <w:rPr>
          <w:rFonts w:cs="Times New Roman"/>
          <w:sz w:val="20"/>
          <w:szCs w:val="20"/>
        </w:rPr>
        <w:t>, 12</w:t>
      </w:r>
      <w:r w:rsidRPr="00F02A12">
        <w:rPr>
          <w:rFonts w:cs="Times New Roman"/>
          <w:smallCaps/>
          <w:sz w:val="20"/>
          <w:szCs w:val="20"/>
        </w:rPr>
        <w:t>3 Yale L. J</w:t>
      </w:r>
      <w:r w:rsidRPr="00F02A12">
        <w:rPr>
          <w:rFonts w:cs="Times New Roman"/>
          <w:sz w:val="20"/>
          <w:szCs w:val="20"/>
        </w:rPr>
        <w:t xml:space="preserve">. 2134 (2014). </w:t>
      </w:r>
    </w:p>
  </w:footnote>
  <w:footnote w:id="19">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rPr>
        <w:t xml:space="preserve"> </w:t>
      </w:r>
      <w:r w:rsidRPr="00F02A12">
        <w:rPr>
          <w:i/>
          <w:sz w:val="20"/>
          <w:szCs w:val="20"/>
        </w:rPr>
        <w:t xml:space="preserve">See </w:t>
      </w:r>
      <w:r w:rsidRPr="00F02A12">
        <w:rPr>
          <w:sz w:val="20"/>
          <w:szCs w:val="20"/>
        </w:rPr>
        <w:t xml:space="preserve">Mariana Pargendler &amp; Bruno </w:t>
      </w:r>
      <w:proofErr w:type="spellStart"/>
      <w:r w:rsidRPr="00F02A12">
        <w:rPr>
          <w:sz w:val="20"/>
          <w:szCs w:val="20"/>
        </w:rPr>
        <w:t>Salama</w:t>
      </w:r>
      <w:proofErr w:type="spellEnd"/>
      <w:r w:rsidRPr="00F02A12">
        <w:rPr>
          <w:sz w:val="20"/>
          <w:szCs w:val="20"/>
        </w:rPr>
        <w:t xml:space="preserve">, </w:t>
      </w:r>
      <w:r w:rsidRPr="00F02A12">
        <w:rPr>
          <w:i/>
          <w:sz w:val="20"/>
          <w:szCs w:val="20"/>
        </w:rPr>
        <w:t>Law and Economics in the Civil Law World: The Role of Brazilian Courts</w:t>
      </w:r>
      <w:r w:rsidRPr="00F02A12">
        <w:rPr>
          <w:sz w:val="20"/>
          <w:szCs w:val="20"/>
        </w:rPr>
        <w:t xml:space="preserve">, 90 </w:t>
      </w:r>
      <w:proofErr w:type="spellStart"/>
      <w:r w:rsidRPr="00F02A12">
        <w:rPr>
          <w:smallCaps/>
          <w:sz w:val="20"/>
          <w:szCs w:val="20"/>
        </w:rPr>
        <w:t>Tul</w:t>
      </w:r>
      <w:proofErr w:type="spellEnd"/>
      <w:r w:rsidRPr="00F02A12">
        <w:rPr>
          <w:smallCaps/>
          <w:sz w:val="20"/>
          <w:szCs w:val="20"/>
        </w:rPr>
        <w:t>. L. Rev. 439</w:t>
      </w:r>
      <w:r>
        <w:rPr>
          <w:sz w:val="20"/>
          <w:szCs w:val="20"/>
        </w:rPr>
        <w:t xml:space="preserve"> (2015). Famous s</w:t>
      </w:r>
      <w:r w:rsidRPr="00F02A12">
        <w:rPr>
          <w:sz w:val="20"/>
          <w:szCs w:val="20"/>
        </w:rPr>
        <w:t>urvey results showed Brazilian judges overwhelmingly declaring that considerations of social justice justify breach of contracts.</w:t>
      </w:r>
      <w:r w:rsidRPr="00F02A12">
        <w:rPr>
          <w:smallCaps/>
          <w:sz w:val="20"/>
          <w:szCs w:val="20"/>
        </w:rPr>
        <w:t xml:space="preserve"> </w:t>
      </w:r>
      <w:r w:rsidRPr="00F02A12">
        <w:rPr>
          <w:smallCaps/>
          <w:sz w:val="20"/>
          <w:szCs w:val="20"/>
          <w:lang w:val="pt-BR"/>
        </w:rPr>
        <w:t xml:space="preserve">Bolívar </w:t>
      </w:r>
      <w:proofErr w:type="spellStart"/>
      <w:r w:rsidRPr="00F02A12">
        <w:rPr>
          <w:smallCaps/>
          <w:sz w:val="20"/>
          <w:szCs w:val="20"/>
          <w:lang w:val="pt-BR"/>
        </w:rPr>
        <w:t>Lamounier</w:t>
      </w:r>
      <w:proofErr w:type="spellEnd"/>
      <w:r w:rsidRPr="00F02A12">
        <w:rPr>
          <w:smallCaps/>
          <w:sz w:val="20"/>
          <w:szCs w:val="20"/>
          <w:lang w:val="pt-BR"/>
        </w:rPr>
        <w:t xml:space="preserve"> &amp; Amauri de Souza, As Elites Brasileiras e o Desenvolvimento Nacional (2012); Armando </w:t>
      </w:r>
      <w:proofErr w:type="spellStart"/>
      <w:r w:rsidRPr="00F02A12">
        <w:rPr>
          <w:smallCaps/>
          <w:sz w:val="20"/>
          <w:szCs w:val="20"/>
          <w:lang w:val="pt-BR"/>
        </w:rPr>
        <w:t>Castelar</w:t>
      </w:r>
      <w:proofErr w:type="spellEnd"/>
      <w:r w:rsidRPr="00F02A12">
        <w:rPr>
          <w:smallCaps/>
          <w:sz w:val="20"/>
          <w:szCs w:val="20"/>
          <w:lang w:val="pt-BR"/>
        </w:rPr>
        <w:t xml:space="preserve"> Pinheiro, Judiciário, Reforma e Economia: A Visão dos Magistrados</w:t>
      </w:r>
      <w:r w:rsidRPr="00F02A12">
        <w:rPr>
          <w:sz w:val="20"/>
          <w:szCs w:val="20"/>
          <w:lang w:val="pt-BR"/>
        </w:rPr>
        <w:t xml:space="preserve"> (2002).</w:t>
      </w:r>
    </w:p>
  </w:footnote>
  <w:footnote w:id="20">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i/>
          <w:sz w:val="20"/>
          <w:szCs w:val="20"/>
        </w:rPr>
        <w:t>See</w:t>
      </w:r>
      <w:r w:rsidRPr="00F02A12">
        <w:rPr>
          <w:rFonts w:cs="Times New Roman"/>
          <w:sz w:val="20"/>
          <w:szCs w:val="20"/>
        </w:rPr>
        <w:t xml:space="preserve">, </w:t>
      </w:r>
      <w:r w:rsidRPr="00F02A12">
        <w:rPr>
          <w:rFonts w:cs="Times New Roman"/>
          <w:i/>
          <w:sz w:val="20"/>
          <w:szCs w:val="20"/>
        </w:rPr>
        <w:t>e.g.</w:t>
      </w:r>
      <w:r w:rsidRPr="00F02A12">
        <w:rPr>
          <w:rFonts w:cs="Times New Roman"/>
          <w:sz w:val="20"/>
          <w:szCs w:val="20"/>
        </w:rPr>
        <w:t xml:space="preserve">, Gemma Corrigan, </w:t>
      </w:r>
      <w:r w:rsidRPr="00F02A12">
        <w:rPr>
          <w:rFonts w:cs="Times New Roman"/>
          <w:i/>
          <w:sz w:val="20"/>
          <w:szCs w:val="20"/>
        </w:rPr>
        <w:t>Is Brazil Making Progress on Inequality?</w:t>
      </w:r>
      <w:r w:rsidRPr="00F02A12">
        <w:rPr>
          <w:rFonts w:cs="Times New Roman"/>
          <w:sz w:val="20"/>
          <w:szCs w:val="20"/>
        </w:rPr>
        <w:t xml:space="preserve">, </w:t>
      </w:r>
      <w:r w:rsidRPr="00C21C6B">
        <w:rPr>
          <w:rFonts w:cs="Times New Roman"/>
          <w:smallCaps/>
          <w:sz w:val="20"/>
          <w:szCs w:val="20"/>
        </w:rPr>
        <w:t>World Economic Forum</w:t>
      </w:r>
      <w:r w:rsidRPr="00F02A12">
        <w:rPr>
          <w:rFonts w:cs="Times New Roman"/>
          <w:sz w:val="20"/>
          <w:szCs w:val="20"/>
        </w:rPr>
        <w:t xml:space="preserve">, Sep. 6, 2015 (“The income gap between the country’s top and bottom decile remains about five times as wide as in advanced economies”). </w:t>
      </w:r>
    </w:p>
  </w:footnote>
  <w:footnote w:id="2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Civil Code, arts. </w:t>
      </w:r>
      <w:proofErr w:type="gramStart"/>
      <w:r w:rsidRPr="00F02A12">
        <w:rPr>
          <w:sz w:val="20"/>
          <w:szCs w:val="20"/>
        </w:rPr>
        <w:t>44</w:t>
      </w:r>
      <w:proofErr w:type="gramEnd"/>
      <w:r w:rsidRPr="00F02A12">
        <w:rPr>
          <w:sz w:val="20"/>
          <w:szCs w:val="20"/>
        </w:rPr>
        <w:t xml:space="preserve"> and 1.088-9. </w:t>
      </w:r>
    </w:p>
  </w:footnote>
  <w:footnote w:id="22">
    <w:p w:rsidR="000373FF" w:rsidRPr="004D541D" w:rsidRDefault="000373FF" w:rsidP="00F02A12">
      <w:pPr>
        <w:pStyle w:val="Textodenotaderodap"/>
        <w:jc w:val="both"/>
        <w:rPr>
          <w:rFonts w:cs="Times New Roman"/>
          <w:sz w:val="20"/>
          <w:szCs w:val="20"/>
        </w:rPr>
      </w:pPr>
      <w:r w:rsidRPr="004D541D">
        <w:rPr>
          <w:rStyle w:val="Refdenotaderodap"/>
          <w:rFonts w:cs="Times New Roman"/>
          <w:sz w:val="20"/>
          <w:szCs w:val="20"/>
        </w:rPr>
        <w:footnoteRef/>
      </w:r>
      <w:r w:rsidRPr="004D541D">
        <w:rPr>
          <w:rFonts w:cs="Times New Roman"/>
          <w:sz w:val="20"/>
          <w:szCs w:val="20"/>
        </w:rPr>
        <w:t xml:space="preserve"> Henry </w:t>
      </w:r>
      <w:proofErr w:type="spellStart"/>
      <w:r w:rsidRPr="004D541D">
        <w:rPr>
          <w:rFonts w:cs="Times New Roman"/>
          <w:sz w:val="20"/>
          <w:szCs w:val="20"/>
        </w:rPr>
        <w:t>Hansmann</w:t>
      </w:r>
      <w:proofErr w:type="spellEnd"/>
      <w:r w:rsidRPr="004D541D">
        <w:rPr>
          <w:rFonts w:cs="Times New Roman"/>
          <w:sz w:val="20"/>
          <w:szCs w:val="20"/>
        </w:rPr>
        <w:t xml:space="preserve"> &amp; </w:t>
      </w:r>
      <w:proofErr w:type="spellStart"/>
      <w:r w:rsidRPr="004D541D">
        <w:rPr>
          <w:rFonts w:cs="Times New Roman"/>
          <w:sz w:val="20"/>
          <w:szCs w:val="20"/>
        </w:rPr>
        <w:t>Reinier</w:t>
      </w:r>
      <w:proofErr w:type="spellEnd"/>
      <w:r w:rsidRPr="004D541D">
        <w:rPr>
          <w:rFonts w:cs="Times New Roman"/>
          <w:sz w:val="20"/>
          <w:szCs w:val="20"/>
        </w:rPr>
        <w:t xml:space="preserve"> </w:t>
      </w:r>
      <w:proofErr w:type="spellStart"/>
      <w:r w:rsidRPr="004D541D">
        <w:rPr>
          <w:rFonts w:cs="Times New Roman"/>
          <w:sz w:val="20"/>
          <w:szCs w:val="20"/>
        </w:rPr>
        <w:t>Kraakman</w:t>
      </w:r>
      <w:proofErr w:type="spellEnd"/>
      <w:r w:rsidRPr="004D541D">
        <w:rPr>
          <w:rFonts w:cs="Times New Roman"/>
          <w:sz w:val="20"/>
          <w:szCs w:val="20"/>
        </w:rPr>
        <w:t xml:space="preserve">, </w:t>
      </w:r>
      <w:proofErr w:type="gramStart"/>
      <w:r w:rsidRPr="004D541D">
        <w:rPr>
          <w:rFonts w:cs="Times New Roman"/>
          <w:i/>
          <w:sz w:val="20"/>
          <w:szCs w:val="20"/>
        </w:rPr>
        <w:t>The</w:t>
      </w:r>
      <w:proofErr w:type="gramEnd"/>
      <w:r w:rsidRPr="004D541D">
        <w:rPr>
          <w:rFonts w:cs="Times New Roman"/>
          <w:i/>
          <w:sz w:val="20"/>
          <w:szCs w:val="20"/>
        </w:rPr>
        <w:t xml:space="preserve"> Essential Role of Organizational Law</w:t>
      </w:r>
      <w:r w:rsidRPr="004D541D">
        <w:rPr>
          <w:rFonts w:cs="Times New Roman"/>
          <w:sz w:val="20"/>
          <w:szCs w:val="20"/>
        </w:rPr>
        <w:t xml:space="preserve">, </w:t>
      </w:r>
      <w:r w:rsidRPr="004D541D">
        <w:rPr>
          <w:rFonts w:cs="Times New Roman"/>
          <w:smallCaps/>
          <w:sz w:val="20"/>
          <w:szCs w:val="20"/>
        </w:rPr>
        <w:t>110 Yale L.</w:t>
      </w:r>
      <w:r w:rsidRPr="004D541D">
        <w:rPr>
          <w:rFonts w:cs="Times New Roman"/>
          <w:sz w:val="20"/>
          <w:szCs w:val="20"/>
        </w:rPr>
        <w:t xml:space="preserve"> J. 387, 394, 434-5 (2000); Henry </w:t>
      </w:r>
      <w:proofErr w:type="spellStart"/>
      <w:r w:rsidRPr="004D541D">
        <w:rPr>
          <w:rFonts w:cs="Times New Roman"/>
          <w:sz w:val="20"/>
          <w:szCs w:val="20"/>
        </w:rPr>
        <w:t>Hansmann</w:t>
      </w:r>
      <w:proofErr w:type="spellEnd"/>
      <w:r w:rsidRPr="004D541D">
        <w:rPr>
          <w:rFonts w:cs="Times New Roman"/>
          <w:sz w:val="20"/>
          <w:szCs w:val="20"/>
        </w:rPr>
        <w:t xml:space="preserve">, </w:t>
      </w:r>
      <w:proofErr w:type="spellStart"/>
      <w:r w:rsidRPr="004D541D">
        <w:rPr>
          <w:rFonts w:cs="Times New Roman"/>
          <w:sz w:val="20"/>
          <w:szCs w:val="20"/>
        </w:rPr>
        <w:t>Reinier</w:t>
      </w:r>
      <w:proofErr w:type="spellEnd"/>
      <w:r w:rsidRPr="004D541D">
        <w:rPr>
          <w:rFonts w:cs="Times New Roman"/>
          <w:sz w:val="20"/>
          <w:szCs w:val="20"/>
        </w:rPr>
        <w:t xml:space="preserve"> </w:t>
      </w:r>
      <w:proofErr w:type="spellStart"/>
      <w:r w:rsidRPr="004D541D">
        <w:rPr>
          <w:rFonts w:cs="Times New Roman"/>
          <w:sz w:val="20"/>
          <w:szCs w:val="20"/>
        </w:rPr>
        <w:t>Kraakman</w:t>
      </w:r>
      <w:proofErr w:type="spellEnd"/>
      <w:r w:rsidRPr="004D541D">
        <w:rPr>
          <w:rFonts w:cs="Times New Roman"/>
          <w:sz w:val="20"/>
          <w:szCs w:val="20"/>
        </w:rPr>
        <w:t xml:space="preserve"> &amp; Richard Squire, </w:t>
      </w:r>
      <w:r w:rsidRPr="004D541D">
        <w:rPr>
          <w:rFonts w:cs="Times New Roman"/>
          <w:i/>
          <w:sz w:val="20"/>
          <w:szCs w:val="20"/>
        </w:rPr>
        <w:t>Law and the Rise of the Firm</w:t>
      </w:r>
      <w:r w:rsidRPr="004D541D">
        <w:rPr>
          <w:rFonts w:cs="Times New Roman"/>
          <w:sz w:val="20"/>
          <w:szCs w:val="20"/>
        </w:rPr>
        <w:t xml:space="preserve">, 119 </w:t>
      </w:r>
      <w:proofErr w:type="spellStart"/>
      <w:r w:rsidRPr="004D541D">
        <w:rPr>
          <w:rFonts w:cs="Times New Roman"/>
          <w:smallCaps/>
          <w:sz w:val="20"/>
          <w:szCs w:val="20"/>
        </w:rPr>
        <w:t>Harv</w:t>
      </w:r>
      <w:proofErr w:type="spellEnd"/>
      <w:r w:rsidRPr="004D541D">
        <w:rPr>
          <w:rFonts w:cs="Times New Roman"/>
          <w:smallCaps/>
          <w:sz w:val="20"/>
          <w:szCs w:val="20"/>
        </w:rPr>
        <w:t>. L. Rev.</w:t>
      </w:r>
      <w:r w:rsidRPr="004D541D">
        <w:rPr>
          <w:rFonts w:cs="Times New Roman"/>
          <w:sz w:val="20"/>
          <w:szCs w:val="20"/>
        </w:rPr>
        <w:t xml:space="preserve"> 1333 (2006).</w:t>
      </w:r>
    </w:p>
  </w:footnote>
  <w:footnote w:id="23">
    <w:p w:rsidR="000373FF" w:rsidRPr="004D541D" w:rsidRDefault="000373FF" w:rsidP="00F02A12">
      <w:pPr>
        <w:pStyle w:val="Textodenotaderodap"/>
        <w:jc w:val="both"/>
        <w:rPr>
          <w:rFonts w:cs="Times New Roman"/>
          <w:sz w:val="20"/>
          <w:szCs w:val="20"/>
        </w:rPr>
      </w:pPr>
      <w:r w:rsidRPr="004D541D">
        <w:rPr>
          <w:rStyle w:val="Refdenotaderodap"/>
          <w:rFonts w:cs="Times New Roman"/>
          <w:sz w:val="20"/>
          <w:szCs w:val="20"/>
        </w:rPr>
        <w:footnoteRef/>
      </w:r>
      <w:r w:rsidRPr="004D541D">
        <w:rPr>
          <w:rFonts w:cs="Times New Roman"/>
          <w:i/>
          <w:sz w:val="20"/>
          <w:szCs w:val="20"/>
        </w:rPr>
        <w:t xml:space="preserve"> </w:t>
      </w:r>
      <w:proofErr w:type="spellStart"/>
      <w:r w:rsidRPr="004D541D">
        <w:rPr>
          <w:rFonts w:cs="Times New Roman"/>
          <w:sz w:val="20"/>
          <w:szCs w:val="20"/>
        </w:rPr>
        <w:t>Hansmann</w:t>
      </w:r>
      <w:proofErr w:type="spellEnd"/>
      <w:r w:rsidRPr="004D541D">
        <w:rPr>
          <w:rFonts w:cs="Times New Roman"/>
          <w:sz w:val="20"/>
          <w:szCs w:val="20"/>
        </w:rPr>
        <w:t xml:space="preserve"> &amp; </w:t>
      </w:r>
      <w:proofErr w:type="spellStart"/>
      <w:r w:rsidRPr="004D541D">
        <w:rPr>
          <w:rFonts w:cs="Times New Roman"/>
          <w:sz w:val="20"/>
          <w:szCs w:val="20"/>
        </w:rPr>
        <w:t>Kraakman</w:t>
      </w:r>
      <w:proofErr w:type="spellEnd"/>
      <w:r w:rsidRPr="004D541D">
        <w:rPr>
          <w:rFonts w:cs="Times New Roman"/>
          <w:sz w:val="20"/>
          <w:szCs w:val="20"/>
        </w:rPr>
        <w:t xml:space="preserve">, </w:t>
      </w:r>
      <w:r w:rsidRPr="004D541D">
        <w:rPr>
          <w:rFonts w:cs="Times New Roman"/>
          <w:i/>
          <w:sz w:val="20"/>
          <w:szCs w:val="20"/>
        </w:rPr>
        <w:t xml:space="preserve">supra </w:t>
      </w:r>
      <w:r w:rsidRPr="004D541D">
        <w:rPr>
          <w:rFonts w:cs="Times New Roman"/>
          <w:sz w:val="20"/>
          <w:szCs w:val="20"/>
        </w:rPr>
        <w:t xml:space="preserve">note </w:t>
      </w:r>
      <w:r w:rsidRPr="004D541D">
        <w:rPr>
          <w:sz w:val="20"/>
          <w:szCs w:val="20"/>
        </w:rPr>
        <w:fldChar w:fldCharType="begin"/>
      </w:r>
      <w:r w:rsidRPr="004D541D">
        <w:rPr>
          <w:sz w:val="20"/>
          <w:szCs w:val="20"/>
        </w:rPr>
        <w:instrText xml:space="preserve"> NOTEREF _Ref451518141 \h  \* MERGEFORMAT </w:instrText>
      </w:r>
      <w:r w:rsidRPr="004D541D">
        <w:rPr>
          <w:sz w:val="20"/>
          <w:szCs w:val="20"/>
        </w:rPr>
      </w:r>
      <w:r w:rsidRPr="004D541D">
        <w:rPr>
          <w:sz w:val="20"/>
          <w:szCs w:val="20"/>
        </w:rPr>
        <w:fldChar w:fldCharType="separate"/>
      </w:r>
      <w:r w:rsidRPr="00DD69EC">
        <w:rPr>
          <w:rFonts w:cs="Times New Roman"/>
          <w:sz w:val="20"/>
          <w:szCs w:val="20"/>
        </w:rPr>
        <w:t>22</w:t>
      </w:r>
      <w:r w:rsidRPr="004D541D">
        <w:rPr>
          <w:sz w:val="20"/>
          <w:szCs w:val="20"/>
        </w:rPr>
        <w:fldChar w:fldCharType="end"/>
      </w:r>
      <w:r w:rsidRPr="004D541D">
        <w:rPr>
          <w:rFonts w:cs="Times New Roman"/>
          <w:sz w:val="20"/>
          <w:szCs w:val="20"/>
        </w:rPr>
        <w:t>, at 394.</w:t>
      </w:r>
    </w:p>
  </w:footnote>
  <w:footnote w:id="24">
    <w:p w:rsidR="000373FF" w:rsidRPr="00F02A12" w:rsidRDefault="000373FF" w:rsidP="00F02A12">
      <w:pPr>
        <w:pStyle w:val="Textodenotaderodap"/>
        <w:jc w:val="both"/>
        <w:rPr>
          <w:sz w:val="20"/>
          <w:szCs w:val="20"/>
        </w:rPr>
      </w:pPr>
      <w:r w:rsidRPr="004D541D">
        <w:rPr>
          <w:rStyle w:val="Refdenotaderodap"/>
          <w:sz w:val="20"/>
          <w:szCs w:val="20"/>
        </w:rPr>
        <w:footnoteRef/>
      </w:r>
      <w:r w:rsidRPr="004D541D">
        <w:rPr>
          <w:sz w:val="20"/>
          <w:szCs w:val="20"/>
        </w:rPr>
        <w:t xml:space="preserve"> Giuseppe Dari‐</w:t>
      </w:r>
      <w:proofErr w:type="spellStart"/>
      <w:r w:rsidRPr="004D541D">
        <w:rPr>
          <w:sz w:val="20"/>
          <w:szCs w:val="20"/>
        </w:rPr>
        <w:t>Mattiacci</w:t>
      </w:r>
      <w:proofErr w:type="spellEnd"/>
      <w:r w:rsidRPr="004D541D">
        <w:rPr>
          <w:sz w:val="20"/>
          <w:szCs w:val="20"/>
        </w:rPr>
        <w:t xml:space="preserve">, </w:t>
      </w:r>
      <w:r w:rsidRPr="004D541D">
        <w:rPr>
          <w:i/>
          <w:sz w:val="20"/>
          <w:szCs w:val="20"/>
        </w:rPr>
        <w:t>The Emergence of the Corporate Form</w:t>
      </w:r>
      <w:r>
        <w:rPr>
          <w:sz w:val="20"/>
          <w:szCs w:val="20"/>
        </w:rPr>
        <w:t xml:space="preserve"> (working paper, 2013</w:t>
      </w:r>
      <w:r w:rsidRPr="004D541D">
        <w:rPr>
          <w:sz w:val="20"/>
          <w:szCs w:val="20"/>
        </w:rPr>
        <w:t xml:space="preserve">), </w:t>
      </w:r>
      <w:hyperlink r:id="rId2" w:history="1">
        <w:r w:rsidRPr="004D541D">
          <w:rPr>
            <w:rStyle w:val="Hyperlink"/>
            <w:sz w:val="20"/>
            <w:szCs w:val="20"/>
          </w:rPr>
          <w:t>http://papers.ssrn.com/sol3/papers.cfm?abstract_id=2223905</w:t>
        </w:r>
      </w:hyperlink>
      <w:r w:rsidRPr="004D541D">
        <w:rPr>
          <w:sz w:val="20"/>
          <w:szCs w:val="20"/>
        </w:rPr>
        <w:t xml:space="preserve">. </w:t>
      </w:r>
    </w:p>
  </w:footnote>
  <w:footnote w:id="25">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smallCaps/>
          <w:sz w:val="20"/>
          <w:szCs w:val="20"/>
        </w:rPr>
        <w:t xml:space="preserve">Harold </w:t>
      </w:r>
      <w:proofErr w:type="spellStart"/>
      <w:r w:rsidRPr="00F02A12">
        <w:rPr>
          <w:rFonts w:cs="Times New Roman"/>
          <w:smallCaps/>
          <w:sz w:val="20"/>
          <w:szCs w:val="20"/>
        </w:rPr>
        <w:t>Demsetz</w:t>
      </w:r>
      <w:proofErr w:type="spellEnd"/>
      <w:r w:rsidRPr="00F02A12">
        <w:rPr>
          <w:rFonts w:cs="Times New Roman"/>
          <w:smallCaps/>
          <w:sz w:val="20"/>
          <w:szCs w:val="20"/>
        </w:rPr>
        <w:t>, The Economics of Business Firms 50-</w:t>
      </w:r>
      <w:r w:rsidRPr="00F02A12">
        <w:rPr>
          <w:rFonts w:cs="Times New Roman"/>
          <w:sz w:val="20"/>
          <w:szCs w:val="20"/>
        </w:rPr>
        <w:t>51 (1995)</w:t>
      </w:r>
      <w:r>
        <w:rPr>
          <w:rFonts w:cs="Times New Roman"/>
          <w:sz w:val="20"/>
          <w:szCs w:val="20"/>
        </w:rPr>
        <w:t>.</w:t>
      </w:r>
    </w:p>
  </w:footnote>
  <w:footnote w:id="26">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smallCaps/>
          <w:sz w:val="20"/>
          <w:szCs w:val="20"/>
        </w:rPr>
        <w:t>William A. Klein &amp; John C. Coffee, Jr, Business Organizations and Finance</w:t>
      </w:r>
      <w:r w:rsidRPr="00F02A12">
        <w:rPr>
          <w:rFonts w:cs="Times New Roman"/>
          <w:sz w:val="20"/>
          <w:szCs w:val="20"/>
        </w:rPr>
        <w:t xml:space="preserve"> 108 (</w:t>
      </w:r>
      <w:proofErr w:type="gramStart"/>
      <w:r w:rsidRPr="00F02A12">
        <w:rPr>
          <w:rFonts w:cs="Times New Roman"/>
          <w:sz w:val="20"/>
          <w:szCs w:val="20"/>
        </w:rPr>
        <w:t>9th</w:t>
      </w:r>
      <w:proofErr w:type="gramEnd"/>
      <w:r w:rsidRPr="00F02A12">
        <w:rPr>
          <w:rFonts w:cs="Times New Roman"/>
          <w:sz w:val="20"/>
          <w:szCs w:val="20"/>
        </w:rPr>
        <w:t xml:space="preserve"> ed. 2004). </w:t>
      </w:r>
    </w:p>
  </w:footnote>
  <w:footnote w:id="27">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Margaret M. Blair, </w:t>
      </w:r>
      <w:r w:rsidRPr="00F02A12">
        <w:rPr>
          <w:rFonts w:cs="Times New Roman"/>
          <w:i/>
          <w:sz w:val="20"/>
          <w:szCs w:val="20"/>
        </w:rPr>
        <w:t>Locking In Capital: What Corporate Law Achieved for Business Organizers in the Nineteenth Century</w:t>
      </w:r>
      <w:r w:rsidRPr="00F02A12">
        <w:rPr>
          <w:rFonts w:cs="Times New Roman"/>
          <w:sz w:val="20"/>
          <w:szCs w:val="20"/>
        </w:rPr>
        <w:t xml:space="preserve">, 51 UCLA L. </w:t>
      </w:r>
      <w:r w:rsidRPr="00F02A12">
        <w:rPr>
          <w:rFonts w:cs="Times New Roman"/>
          <w:smallCaps/>
          <w:sz w:val="20"/>
          <w:szCs w:val="20"/>
        </w:rPr>
        <w:t>Rev.</w:t>
      </w:r>
      <w:r w:rsidRPr="00F02A12">
        <w:rPr>
          <w:rFonts w:cs="Times New Roman"/>
          <w:sz w:val="20"/>
          <w:szCs w:val="20"/>
        </w:rPr>
        <w:t xml:space="preserve"> 387 (2003-2004)</w:t>
      </w:r>
      <w:proofErr w:type="gramStart"/>
      <w:r w:rsidRPr="00F02A12">
        <w:rPr>
          <w:rFonts w:cs="Times New Roman"/>
          <w:sz w:val="20"/>
          <w:szCs w:val="20"/>
        </w:rPr>
        <w:t>;</w:t>
      </w:r>
      <w:proofErr w:type="gramEnd"/>
      <w:r w:rsidRPr="00F02A12">
        <w:rPr>
          <w:rFonts w:cs="Times New Roman"/>
          <w:sz w:val="20"/>
          <w:szCs w:val="20"/>
        </w:rPr>
        <w:t xml:space="preserve"> Lynn Stout, </w:t>
      </w:r>
      <w:r w:rsidRPr="00F02A12">
        <w:rPr>
          <w:rFonts w:cs="Times New Roman"/>
          <w:i/>
          <w:sz w:val="20"/>
          <w:szCs w:val="20"/>
        </w:rPr>
        <w:t>On the Nature of Corporations</w:t>
      </w:r>
      <w:r w:rsidRPr="00F02A12">
        <w:rPr>
          <w:rFonts w:cs="Times New Roman"/>
          <w:sz w:val="20"/>
          <w:szCs w:val="20"/>
        </w:rPr>
        <w:t>, 2005 U</w:t>
      </w:r>
      <w:r w:rsidRPr="00F02A12">
        <w:rPr>
          <w:rFonts w:cs="Times New Roman"/>
          <w:smallCaps/>
          <w:sz w:val="20"/>
          <w:szCs w:val="20"/>
        </w:rPr>
        <w:t>. Ill. L. Rev</w:t>
      </w:r>
      <w:r w:rsidRPr="00F02A12">
        <w:rPr>
          <w:rFonts w:cs="Times New Roman"/>
          <w:sz w:val="20"/>
          <w:szCs w:val="20"/>
        </w:rPr>
        <w:t>. 253 (2005).</w:t>
      </w:r>
    </w:p>
  </w:footnote>
  <w:footnote w:id="28">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proofErr w:type="spellStart"/>
      <w:r w:rsidRPr="00F02A12">
        <w:rPr>
          <w:rFonts w:cs="Times New Roman"/>
          <w:sz w:val="20"/>
          <w:szCs w:val="20"/>
        </w:rPr>
        <w:t>Hansmann</w:t>
      </w:r>
      <w:proofErr w:type="spellEnd"/>
      <w:r w:rsidRPr="00F02A12">
        <w:rPr>
          <w:rFonts w:cs="Times New Roman"/>
          <w:sz w:val="20"/>
          <w:szCs w:val="20"/>
        </w:rPr>
        <w:t xml:space="preserve"> &amp; </w:t>
      </w:r>
      <w:proofErr w:type="spellStart"/>
      <w:proofErr w:type="gramStart"/>
      <w:r w:rsidRPr="00F02A12">
        <w:rPr>
          <w:rFonts w:cs="Times New Roman"/>
          <w:sz w:val="20"/>
          <w:szCs w:val="20"/>
        </w:rPr>
        <w:t>Kraakman</w:t>
      </w:r>
      <w:proofErr w:type="spellEnd"/>
      <w:r w:rsidRPr="00F02A12">
        <w:rPr>
          <w:rFonts w:cs="Times New Roman"/>
          <w:sz w:val="20"/>
          <w:szCs w:val="20"/>
        </w:rPr>
        <w:t>,</w:t>
      </w:r>
      <w:proofErr w:type="gramEnd"/>
      <w:r w:rsidRPr="00F02A12">
        <w:rPr>
          <w:rFonts w:cs="Times New Roman"/>
          <w:sz w:val="20"/>
          <w:szCs w:val="20"/>
        </w:rPr>
        <w:t xml:space="preserve"> </w:t>
      </w:r>
      <w:r w:rsidRPr="00F02A12">
        <w:rPr>
          <w:rFonts w:cs="Times New Roman"/>
          <w:i/>
          <w:sz w:val="20"/>
          <w:szCs w:val="20"/>
        </w:rPr>
        <w:t xml:space="preserve">supra </w:t>
      </w:r>
      <w:r w:rsidRPr="00F02A12">
        <w:rPr>
          <w:rFonts w:cs="Times New Roman"/>
          <w:sz w:val="20"/>
          <w:szCs w:val="20"/>
        </w:rPr>
        <w:t xml:space="preserve">note </w:t>
      </w:r>
      <w:r w:rsidRPr="00F02A12">
        <w:rPr>
          <w:sz w:val="20"/>
          <w:szCs w:val="20"/>
        </w:rPr>
        <w:fldChar w:fldCharType="begin"/>
      </w:r>
      <w:r w:rsidRPr="00F02A12">
        <w:rPr>
          <w:sz w:val="20"/>
          <w:szCs w:val="20"/>
        </w:rPr>
        <w:instrText xml:space="preserve"> NOTEREF _Ref451518141 \h  \* MERGEFORMAT </w:instrText>
      </w:r>
      <w:r w:rsidRPr="00F02A12">
        <w:rPr>
          <w:sz w:val="20"/>
          <w:szCs w:val="20"/>
        </w:rPr>
      </w:r>
      <w:r w:rsidRPr="00F02A12">
        <w:rPr>
          <w:sz w:val="20"/>
          <w:szCs w:val="20"/>
        </w:rPr>
        <w:fldChar w:fldCharType="separate"/>
      </w:r>
      <w:r w:rsidRPr="00DD69EC">
        <w:rPr>
          <w:rFonts w:cs="Times New Roman"/>
          <w:sz w:val="20"/>
          <w:szCs w:val="20"/>
        </w:rPr>
        <w:t>22</w:t>
      </w:r>
      <w:r w:rsidRPr="00F02A12">
        <w:rPr>
          <w:sz w:val="20"/>
          <w:szCs w:val="20"/>
        </w:rPr>
        <w:fldChar w:fldCharType="end"/>
      </w:r>
      <w:r w:rsidRPr="00F02A12">
        <w:rPr>
          <w:rFonts w:cs="Times New Roman"/>
          <w:sz w:val="20"/>
          <w:szCs w:val="20"/>
        </w:rPr>
        <w:t xml:space="preserve">, at 423; Stout, </w:t>
      </w:r>
      <w:r w:rsidRPr="00F02A12">
        <w:rPr>
          <w:rFonts w:cs="Times New Roman"/>
          <w:i/>
          <w:sz w:val="20"/>
          <w:szCs w:val="20"/>
        </w:rPr>
        <w:t xml:space="preserve">supra </w:t>
      </w:r>
      <w:r w:rsidRPr="00F02A12">
        <w:rPr>
          <w:rFonts w:cs="Times New Roman"/>
          <w:sz w:val="20"/>
          <w:szCs w:val="20"/>
        </w:rPr>
        <w:t xml:space="preserve">note </w:t>
      </w:r>
      <w:r w:rsidRPr="00F02A12">
        <w:rPr>
          <w:sz w:val="20"/>
          <w:szCs w:val="20"/>
        </w:rPr>
        <w:fldChar w:fldCharType="begin"/>
      </w:r>
      <w:r w:rsidRPr="00F02A12">
        <w:rPr>
          <w:sz w:val="20"/>
          <w:szCs w:val="20"/>
        </w:rPr>
        <w:instrText xml:space="preserve"> NOTEREF _Ref451246209 \h  \* MERGEFORMAT </w:instrText>
      </w:r>
      <w:r w:rsidRPr="00F02A12">
        <w:rPr>
          <w:sz w:val="20"/>
          <w:szCs w:val="20"/>
        </w:rPr>
      </w:r>
      <w:r w:rsidRPr="00F02A12">
        <w:rPr>
          <w:sz w:val="20"/>
          <w:szCs w:val="20"/>
        </w:rPr>
        <w:fldChar w:fldCharType="separate"/>
      </w:r>
      <w:r w:rsidRPr="00DD69EC">
        <w:rPr>
          <w:rFonts w:cs="Times New Roman"/>
          <w:sz w:val="20"/>
          <w:szCs w:val="20"/>
        </w:rPr>
        <w:t>27</w:t>
      </w:r>
      <w:r w:rsidRPr="00F02A12">
        <w:rPr>
          <w:sz w:val="20"/>
          <w:szCs w:val="20"/>
        </w:rPr>
        <w:fldChar w:fldCharType="end"/>
      </w:r>
      <w:r w:rsidRPr="00F02A12">
        <w:rPr>
          <w:rFonts w:cs="Times New Roman"/>
          <w:sz w:val="20"/>
          <w:szCs w:val="20"/>
        </w:rPr>
        <w:t>, at 254.</w:t>
      </w:r>
    </w:p>
  </w:footnote>
  <w:footnote w:id="29">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proofErr w:type="spellStart"/>
      <w:r w:rsidRPr="00F02A12">
        <w:rPr>
          <w:rFonts w:cs="Times New Roman"/>
          <w:sz w:val="20"/>
          <w:szCs w:val="20"/>
        </w:rPr>
        <w:t>Hansmann</w:t>
      </w:r>
      <w:proofErr w:type="spellEnd"/>
      <w:r w:rsidRPr="00F02A12">
        <w:rPr>
          <w:rFonts w:cs="Times New Roman"/>
          <w:sz w:val="20"/>
          <w:szCs w:val="20"/>
        </w:rPr>
        <w:t xml:space="preserve"> &amp; </w:t>
      </w:r>
      <w:proofErr w:type="spellStart"/>
      <w:r w:rsidRPr="00F02A12">
        <w:rPr>
          <w:rFonts w:cs="Times New Roman"/>
          <w:sz w:val="20"/>
          <w:szCs w:val="20"/>
        </w:rPr>
        <w:t>Kraakman</w:t>
      </w:r>
      <w:proofErr w:type="spellEnd"/>
      <w:r w:rsidRPr="00F02A12">
        <w:rPr>
          <w:rFonts w:cs="Times New Roman"/>
          <w:sz w:val="20"/>
          <w:szCs w:val="20"/>
        </w:rPr>
        <w:t xml:space="preserve">, </w:t>
      </w:r>
      <w:r w:rsidRPr="00F02A12">
        <w:rPr>
          <w:rFonts w:cs="Times New Roman"/>
          <w:i/>
          <w:sz w:val="20"/>
          <w:szCs w:val="20"/>
        </w:rPr>
        <w:t xml:space="preserve">supra </w:t>
      </w:r>
      <w:r w:rsidRPr="00F02A12">
        <w:rPr>
          <w:rFonts w:cs="Times New Roman"/>
          <w:sz w:val="20"/>
          <w:szCs w:val="20"/>
        </w:rPr>
        <w:t xml:space="preserve">note </w:t>
      </w:r>
      <w:r w:rsidRPr="00F02A12">
        <w:rPr>
          <w:sz w:val="20"/>
          <w:szCs w:val="20"/>
        </w:rPr>
        <w:fldChar w:fldCharType="begin"/>
      </w:r>
      <w:r w:rsidRPr="00F02A12">
        <w:rPr>
          <w:sz w:val="20"/>
          <w:szCs w:val="20"/>
        </w:rPr>
        <w:instrText xml:space="preserve"> NOTEREF _Ref451518141 \h  \* MERGEFORMAT </w:instrText>
      </w:r>
      <w:r w:rsidRPr="00F02A12">
        <w:rPr>
          <w:sz w:val="20"/>
          <w:szCs w:val="20"/>
        </w:rPr>
      </w:r>
      <w:r w:rsidRPr="00F02A12">
        <w:rPr>
          <w:sz w:val="20"/>
          <w:szCs w:val="20"/>
        </w:rPr>
        <w:fldChar w:fldCharType="separate"/>
      </w:r>
      <w:r w:rsidRPr="00DD69EC">
        <w:rPr>
          <w:rFonts w:cs="Times New Roman"/>
          <w:sz w:val="20"/>
          <w:szCs w:val="20"/>
        </w:rPr>
        <w:t>22</w:t>
      </w:r>
      <w:r w:rsidRPr="00F02A12">
        <w:rPr>
          <w:sz w:val="20"/>
          <w:szCs w:val="20"/>
        </w:rPr>
        <w:fldChar w:fldCharType="end"/>
      </w:r>
      <w:r w:rsidRPr="00F02A12">
        <w:rPr>
          <w:rFonts w:cs="Times New Roman"/>
          <w:sz w:val="20"/>
          <w:szCs w:val="20"/>
        </w:rPr>
        <w:t xml:space="preserve">, at 402. </w:t>
      </w:r>
    </w:p>
  </w:footnote>
  <w:footnote w:id="30">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i/>
          <w:sz w:val="20"/>
          <w:szCs w:val="20"/>
        </w:rPr>
        <w:t>Id.</w:t>
      </w:r>
    </w:p>
  </w:footnote>
  <w:footnote w:id="31">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Blair, </w:t>
      </w:r>
      <w:r w:rsidRPr="00F02A12">
        <w:rPr>
          <w:rFonts w:cs="Times New Roman"/>
          <w:i/>
          <w:sz w:val="20"/>
          <w:szCs w:val="20"/>
        </w:rPr>
        <w:t xml:space="preserve">supra </w:t>
      </w:r>
      <w:r w:rsidRPr="00F02A12">
        <w:rPr>
          <w:rFonts w:cs="Times New Roman"/>
          <w:sz w:val="20"/>
          <w:szCs w:val="20"/>
        </w:rPr>
        <w:t xml:space="preserve">note </w:t>
      </w:r>
      <w:r w:rsidRPr="00F02A12">
        <w:rPr>
          <w:sz w:val="20"/>
          <w:szCs w:val="20"/>
        </w:rPr>
        <w:fldChar w:fldCharType="begin"/>
      </w:r>
      <w:r w:rsidRPr="00F02A12">
        <w:rPr>
          <w:sz w:val="20"/>
          <w:szCs w:val="20"/>
        </w:rPr>
        <w:instrText xml:space="preserve"> NOTEREF _Ref451246209 \h  \* MERGEFORMAT </w:instrText>
      </w:r>
      <w:r w:rsidRPr="00F02A12">
        <w:rPr>
          <w:sz w:val="20"/>
          <w:szCs w:val="20"/>
        </w:rPr>
      </w:r>
      <w:r w:rsidRPr="00F02A12">
        <w:rPr>
          <w:sz w:val="20"/>
          <w:szCs w:val="20"/>
        </w:rPr>
        <w:fldChar w:fldCharType="separate"/>
      </w:r>
      <w:r w:rsidRPr="00DD69EC">
        <w:rPr>
          <w:rFonts w:cs="Times New Roman"/>
          <w:sz w:val="20"/>
          <w:szCs w:val="20"/>
        </w:rPr>
        <w:t>27</w:t>
      </w:r>
      <w:r w:rsidRPr="00F02A12">
        <w:rPr>
          <w:sz w:val="20"/>
          <w:szCs w:val="20"/>
        </w:rPr>
        <w:fldChar w:fldCharType="end"/>
      </w:r>
      <w:r w:rsidRPr="00F02A12">
        <w:rPr>
          <w:rFonts w:cs="Times New Roman"/>
          <w:sz w:val="20"/>
          <w:szCs w:val="20"/>
        </w:rPr>
        <w:t xml:space="preserve">. </w:t>
      </w:r>
    </w:p>
  </w:footnote>
  <w:footnote w:id="32">
    <w:p w:rsidR="000373FF" w:rsidRPr="00776EDB"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Edward B. Rock &amp; Michael </w:t>
      </w:r>
      <w:proofErr w:type="spellStart"/>
      <w:r w:rsidRPr="00F02A12">
        <w:rPr>
          <w:rFonts w:cs="Times New Roman"/>
          <w:sz w:val="20"/>
          <w:szCs w:val="20"/>
        </w:rPr>
        <w:t>Wachter</w:t>
      </w:r>
      <w:proofErr w:type="spellEnd"/>
      <w:r w:rsidRPr="00F02A12">
        <w:rPr>
          <w:rFonts w:cs="Times New Roman"/>
          <w:sz w:val="20"/>
          <w:szCs w:val="20"/>
        </w:rPr>
        <w:t xml:space="preserve">, </w:t>
      </w:r>
      <w:r w:rsidRPr="00F02A12">
        <w:rPr>
          <w:rFonts w:cs="Times New Roman"/>
          <w:i/>
          <w:sz w:val="20"/>
          <w:szCs w:val="20"/>
        </w:rPr>
        <w:t xml:space="preserve">Waiting for the Omelet to Set: Match-Specific Assets and Minority Oppression in Close </w:t>
      </w:r>
      <w:r w:rsidRPr="00776EDB">
        <w:rPr>
          <w:rFonts w:cs="Times New Roman"/>
          <w:i/>
          <w:sz w:val="20"/>
          <w:szCs w:val="20"/>
        </w:rPr>
        <w:t>Corporations</w:t>
      </w:r>
      <w:r w:rsidRPr="00776EDB">
        <w:rPr>
          <w:rFonts w:cs="Times New Roman"/>
          <w:sz w:val="20"/>
          <w:szCs w:val="20"/>
        </w:rPr>
        <w:t xml:space="preserve">, 24 J. </w:t>
      </w:r>
      <w:r w:rsidRPr="00776EDB">
        <w:rPr>
          <w:rFonts w:cs="Times New Roman"/>
          <w:smallCaps/>
          <w:sz w:val="20"/>
          <w:szCs w:val="20"/>
        </w:rPr>
        <w:t>Corp. L. 913</w:t>
      </w:r>
      <w:r w:rsidRPr="00776EDB">
        <w:rPr>
          <w:rFonts w:cs="Times New Roman"/>
          <w:sz w:val="20"/>
          <w:szCs w:val="20"/>
        </w:rPr>
        <w:t xml:space="preserve"> (1999).</w:t>
      </w:r>
    </w:p>
  </w:footnote>
  <w:footnote w:id="33">
    <w:p w:rsidR="000373FF" w:rsidRPr="00776EDB" w:rsidRDefault="000373FF" w:rsidP="00F02A12">
      <w:pPr>
        <w:pStyle w:val="Textodenotaderodap"/>
        <w:jc w:val="both"/>
        <w:rPr>
          <w:rFonts w:cs="Times New Roman"/>
          <w:sz w:val="20"/>
          <w:szCs w:val="20"/>
        </w:rPr>
      </w:pPr>
      <w:r w:rsidRPr="00776EDB">
        <w:rPr>
          <w:rStyle w:val="Refdenotaderodap"/>
          <w:rFonts w:cs="Times New Roman"/>
          <w:sz w:val="20"/>
          <w:szCs w:val="20"/>
        </w:rPr>
        <w:footnoteRef/>
      </w:r>
      <w:r w:rsidRPr="00776EDB">
        <w:rPr>
          <w:rFonts w:cs="Times New Roman"/>
          <w:sz w:val="20"/>
          <w:szCs w:val="20"/>
        </w:rPr>
        <w:t xml:space="preserve"> </w:t>
      </w:r>
      <w:proofErr w:type="spellStart"/>
      <w:r w:rsidRPr="00776EDB">
        <w:rPr>
          <w:rFonts w:cs="Times New Roman"/>
          <w:sz w:val="20"/>
          <w:szCs w:val="20"/>
        </w:rPr>
        <w:t>Hansmann</w:t>
      </w:r>
      <w:proofErr w:type="spellEnd"/>
      <w:r w:rsidRPr="00776EDB">
        <w:rPr>
          <w:rFonts w:cs="Times New Roman"/>
          <w:sz w:val="20"/>
          <w:szCs w:val="20"/>
        </w:rPr>
        <w:t xml:space="preserve"> &amp; </w:t>
      </w:r>
      <w:proofErr w:type="spellStart"/>
      <w:r w:rsidRPr="00776EDB">
        <w:rPr>
          <w:rFonts w:cs="Times New Roman"/>
          <w:sz w:val="20"/>
          <w:szCs w:val="20"/>
        </w:rPr>
        <w:t>Kraakman</w:t>
      </w:r>
      <w:proofErr w:type="spellEnd"/>
      <w:r w:rsidRPr="00776EDB">
        <w:rPr>
          <w:rFonts w:cs="Times New Roman"/>
          <w:sz w:val="20"/>
          <w:szCs w:val="20"/>
        </w:rPr>
        <w:t xml:space="preserve">, </w:t>
      </w:r>
      <w:r w:rsidRPr="00776EDB">
        <w:rPr>
          <w:rFonts w:cs="Times New Roman"/>
          <w:i/>
          <w:sz w:val="20"/>
          <w:szCs w:val="20"/>
        </w:rPr>
        <w:t xml:space="preserve">supra </w:t>
      </w:r>
      <w:r w:rsidRPr="00776EDB">
        <w:rPr>
          <w:rFonts w:cs="Times New Roman"/>
          <w:sz w:val="20"/>
          <w:szCs w:val="20"/>
        </w:rPr>
        <w:t xml:space="preserve">note </w:t>
      </w:r>
      <w:r w:rsidRPr="00776EDB">
        <w:rPr>
          <w:sz w:val="20"/>
          <w:szCs w:val="20"/>
        </w:rPr>
        <w:fldChar w:fldCharType="begin"/>
      </w:r>
      <w:r w:rsidRPr="00776EDB">
        <w:rPr>
          <w:sz w:val="20"/>
          <w:szCs w:val="20"/>
        </w:rPr>
        <w:instrText xml:space="preserve"> NOTEREF _Ref451518141 \h  \* MERGEFORMAT </w:instrText>
      </w:r>
      <w:r w:rsidRPr="00776EDB">
        <w:rPr>
          <w:sz w:val="20"/>
          <w:szCs w:val="20"/>
        </w:rPr>
      </w:r>
      <w:r w:rsidRPr="00776EDB">
        <w:rPr>
          <w:sz w:val="20"/>
          <w:szCs w:val="20"/>
        </w:rPr>
        <w:fldChar w:fldCharType="separate"/>
      </w:r>
      <w:r w:rsidRPr="00DD69EC">
        <w:rPr>
          <w:rFonts w:cs="Times New Roman"/>
          <w:sz w:val="20"/>
          <w:szCs w:val="20"/>
        </w:rPr>
        <w:t>22</w:t>
      </w:r>
      <w:r w:rsidRPr="00776EDB">
        <w:rPr>
          <w:sz w:val="20"/>
          <w:szCs w:val="20"/>
        </w:rPr>
        <w:fldChar w:fldCharType="end"/>
      </w:r>
      <w:r w:rsidRPr="00776EDB">
        <w:rPr>
          <w:rFonts w:cs="Times New Roman"/>
          <w:sz w:val="20"/>
          <w:szCs w:val="20"/>
        </w:rPr>
        <w:t>, at 407-12.</w:t>
      </w:r>
    </w:p>
  </w:footnote>
  <w:footnote w:id="34">
    <w:p w:rsidR="000373FF" w:rsidRPr="00A465E1" w:rsidRDefault="000373FF">
      <w:pPr>
        <w:pStyle w:val="Textodenotaderodap"/>
      </w:pPr>
      <w:r w:rsidRPr="00776EDB">
        <w:rPr>
          <w:rStyle w:val="Refdenotaderodap"/>
          <w:sz w:val="20"/>
          <w:szCs w:val="20"/>
        </w:rPr>
        <w:footnoteRef/>
      </w:r>
      <w:r w:rsidRPr="00776EDB">
        <w:rPr>
          <w:sz w:val="20"/>
          <w:szCs w:val="20"/>
        </w:rPr>
        <w:t xml:space="preserve"> </w:t>
      </w:r>
      <w:r w:rsidRPr="00776EDB">
        <w:rPr>
          <w:i/>
          <w:sz w:val="20"/>
          <w:szCs w:val="20"/>
        </w:rPr>
        <w:t>Id.</w:t>
      </w:r>
      <w:r>
        <w:rPr>
          <w:i/>
          <w:sz w:val="20"/>
          <w:szCs w:val="20"/>
        </w:rPr>
        <w:t xml:space="preserve"> </w:t>
      </w:r>
      <w:r>
        <w:rPr>
          <w:sz w:val="20"/>
          <w:szCs w:val="20"/>
        </w:rPr>
        <w:t>at 408.</w:t>
      </w:r>
    </w:p>
  </w:footnote>
  <w:footnote w:id="35">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Id.</w:t>
      </w:r>
      <w:r w:rsidRPr="00F02A12">
        <w:rPr>
          <w:sz w:val="20"/>
          <w:szCs w:val="20"/>
        </w:rPr>
        <w:t xml:space="preserve">; </w:t>
      </w:r>
      <w:proofErr w:type="spellStart"/>
      <w:r w:rsidRPr="00F02A12">
        <w:rPr>
          <w:sz w:val="20"/>
          <w:szCs w:val="20"/>
        </w:rPr>
        <w:t>Hansmann</w:t>
      </w:r>
      <w:proofErr w:type="spellEnd"/>
      <w:r w:rsidRPr="00F02A12">
        <w:rPr>
          <w:sz w:val="20"/>
          <w:szCs w:val="20"/>
        </w:rPr>
        <w:t xml:space="preserve"> et al., </w:t>
      </w:r>
      <w:r w:rsidRPr="00F02A12">
        <w:rPr>
          <w:rFonts w:cs="Times New Roman"/>
          <w:i/>
          <w:sz w:val="20"/>
          <w:szCs w:val="20"/>
        </w:rPr>
        <w:t xml:space="preserve">supra </w:t>
      </w:r>
      <w:r w:rsidRPr="00F02A12">
        <w:rPr>
          <w:rFonts w:cs="Times New Roman"/>
          <w:sz w:val="20"/>
          <w:szCs w:val="20"/>
        </w:rPr>
        <w:t xml:space="preserve">note </w:t>
      </w:r>
      <w:r w:rsidRPr="00F02A12">
        <w:rPr>
          <w:sz w:val="20"/>
          <w:szCs w:val="20"/>
        </w:rPr>
        <w:fldChar w:fldCharType="begin"/>
      </w:r>
      <w:r w:rsidRPr="00F02A12">
        <w:rPr>
          <w:sz w:val="20"/>
          <w:szCs w:val="20"/>
        </w:rPr>
        <w:instrText xml:space="preserve"> NOTEREF _Ref451518141 \h  \* MERGEFORMAT </w:instrText>
      </w:r>
      <w:r w:rsidRPr="00F02A12">
        <w:rPr>
          <w:sz w:val="20"/>
          <w:szCs w:val="20"/>
        </w:rPr>
      </w:r>
      <w:r w:rsidRPr="00F02A12">
        <w:rPr>
          <w:sz w:val="20"/>
          <w:szCs w:val="20"/>
        </w:rPr>
        <w:fldChar w:fldCharType="separate"/>
      </w:r>
      <w:r w:rsidRPr="00DD69EC">
        <w:rPr>
          <w:rFonts w:cs="Times New Roman"/>
          <w:sz w:val="20"/>
          <w:szCs w:val="20"/>
        </w:rPr>
        <w:t>22</w:t>
      </w:r>
      <w:r w:rsidRPr="00F02A12">
        <w:rPr>
          <w:sz w:val="20"/>
          <w:szCs w:val="20"/>
        </w:rPr>
        <w:fldChar w:fldCharType="end"/>
      </w:r>
      <w:r w:rsidRPr="00F02A12">
        <w:rPr>
          <w:rFonts w:cs="Times New Roman"/>
          <w:sz w:val="20"/>
          <w:szCs w:val="20"/>
        </w:rPr>
        <w:t xml:space="preserve">, at 1349. While partnerships have long prevented partner withdrawals during a defined term, these agreements lack the legal force provided by the corporate form. </w:t>
      </w:r>
      <w:r w:rsidRPr="00F02A12">
        <w:rPr>
          <w:rFonts w:cs="Times New Roman"/>
          <w:i/>
          <w:sz w:val="20"/>
          <w:szCs w:val="20"/>
        </w:rPr>
        <w:t xml:space="preserve">Id. </w:t>
      </w:r>
      <w:r w:rsidRPr="00F02A12">
        <w:rPr>
          <w:rFonts w:cs="Times New Roman"/>
          <w:sz w:val="20"/>
          <w:szCs w:val="20"/>
        </w:rPr>
        <w:t>at 1342.</w:t>
      </w:r>
    </w:p>
  </w:footnote>
  <w:footnote w:id="3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In civil law jurisdictions, courts may qualify an agreement for a very long term as amounting to an indefinite term, thus permitting unilateral termination at will. </w:t>
      </w:r>
    </w:p>
  </w:footnote>
  <w:footnote w:id="3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lang w:val="pt-BR"/>
        </w:rPr>
        <w:t xml:space="preserve"> </w:t>
      </w:r>
      <w:proofErr w:type="spellStart"/>
      <w:r w:rsidRPr="00F02A12">
        <w:rPr>
          <w:i/>
          <w:sz w:val="20"/>
          <w:szCs w:val="20"/>
          <w:lang w:val="pt-BR"/>
        </w:rPr>
        <w:t>See</w:t>
      </w:r>
      <w:proofErr w:type="spellEnd"/>
      <w:r w:rsidRPr="00F02A12">
        <w:rPr>
          <w:sz w:val="20"/>
          <w:szCs w:val="20"/>
          <w:lang w:val="pt-BR"/>
        </w:rPr>
        <w:t xml:space="preserve">, </w:t>
      </w:r>
      <w:r w:rsidRPr="00F02A12">
        <w:rPr>
          <w:i/>
          <w:sz w:val="20"/>
          <w:szCs w:val="20"/>
          <w:lang w:val="pt-BR"/>
        </w:rPr>
        <w:t>e.g.</w:t>
      </w:r>
      <w:r w:rsidRPr="00F02A12">
        <w:rPr>
          <w:sz w:val="20"/>
          <w:szCs w:val="20"/>
          <w:lang w:val="pt-BR"/>
        </w:rPr>
        <w:t>,</w:t>
      </w:r>
      <w:r w:rsidRPr="00F02A12">
        <w:rPr>
          <w:i/>
          <w:sz w:val="20"/>
          <w:szCs w:val="20"/>
          <w:lang w:val="pt-BR"/>
        </w:rPr>
        <w:t xml:space="preserve"> </w:t>
      </w:r>
      <w:r w:rsidRPr="00F02A12">
        <w:rPr>
          <w:sz w:val="20"/>
          <w:szCs w:val="20"/>
          <w:lang w:val="pt-BR"/>
        </w:rPr>
        <w:t xml:space="preserve">Superior Tribunal de Justiça, RESP 388.423-RS, Rel. </w:t>
      </w:r>
      <w:r w:rsidRPr="00F02A12">
        <w:rPr>
          <w:sz w:val="20"/>
          <w:szCs w:val="20"/>
        </w:rPr>
        <w:t xml:space="preserve">Min. </w:t>
      </w:r>
      <w:proofErr w:type="spellStart"/>
      <w:r w:rsidRPr="00F02A12">
        <w:rPr>
          <w:sz w:val="20"/>
          <w:szCs w:val="20"/>
        </w:rPr>
        <w:t>Sálvio</w:t>
      </w:r>
      <w:proofErr w:type="spellEnd"/>
      <w:r w:rsidRPr="00F02A12">
        <w:rPr>
          <w:sz w:val="20"/>
          <w:szCs w:val="20"/>
        </w:rPr>
        <w:t xml:space="preserve"> de </w:t>
      </w:r>
      <w:proofErr w:type="spellStart"/>
      <w:r w:rsidRPr="00F02A12">
        <w:rPr>
          <w:sz w:val="20"/>
          <w:szCs w:val="20"/>
        </w:rPr>
        <w:t>Figueiredo</w:t>
      </w:r>
      <w:proofErr w:type="spellEnd"/>
      <w:r w:rsidRPr="00F02A12">
        <w:rPr>
          <w:sz w:val="20"/>
          <w:szCs w:val="20"/>
        </w:rPr>
        <w:t xml:space="preserve"> Teixeira, decided on May 13, 2003, D.J. Aug. 4, 2013 (finding that the breach of </w:t>
      </w:r>
      <w:proofErr w:type="spellStart"/>
      <w:r w:rsidRPr="00F02A12">
        <w:rPr>
          <w:i/>
          <w:sz w:val="20"/>
          <w:szCs w:val="20"/>
        </w:rPr>
        <w:t>affectio</w:t>
      </w:r>
      <w:proofErr w:type="spellEnd"/>
      <w:r w:rsidRPr="00F02A12">
        <w:rPr>
          <w:i/>
          <w:sz w:val="20"/>
          <w:szCs w:val="20"/>
        </w:rPr>
        <w:t xml:space="preserve"> </w:t>
      </w:r>
      <w:proofErr w:type="spellStart"/>
      <w:r w:rsidRPr="00F02A12">
        <w:rPr>
          <w:i/>
          <w:sz w:val="20"/>
          <w:szCs w:val="20"/>
        </w:rPr>
        <w:t>societatis</w:t>
      </w:r>
      <w:proofErr w:type="spellEnd"/>
      <w:r w:rsidRPr="00F02A12">
        <w:rPr>
          <w:i/>
          <w:sz w:val="20"/>
          <w:szCs w:val="20"/>
        </w:rPr>
        <w:t xml:space="preserve"> </w:t>
      </w:r>
      <w:r w:rsidRPr="00F02A12">
        <w:rPr>
          <w:sz w:val="20"/>
          <w:szCs w:val="20"/>
        </w:rPr>
        <w:t>and the duty of loyalty and cooperation among the parties provides sufficient grounds for termination of a shareholder agreement).</w:t>
      </w:r>
    </w:p>
  </w:footnote>
  <w:footnote w:id="3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See</w:t>
      </w:r>
      <w:r w:rsidRPr="00F02A12">
        <w:rPr>
          <w:sz w:val="20"/>
          <w:szCs w:val="20"/>
        </w:rPr>
        <w:t>, e.g.</w:t>
      </w:r>
      <w:r w:rsidRPr="00F02A12">
        <w:rPr>
          <w:i/>
          <w:sz w:val="20"/>
          <w:szCs w:val="20"/>
        </w:rPr>
        <w:t xml:space="preserve">, </w:t>
      </w:r>
      <w:r w:rsidRPr="00F02A12">
        <w:rPr>
          <w:sz w:val="20"/>
          <w:szCs w:val="20"/>
        </w:rPr>
        <w:t xml:space="preserve">note </w:t>
      </w:r>
      <w:r w:rsidRPr="00F02A12">
        <w:rPr>
          <w:sz w:val="20"/>
          <w:szCs w:val="20"/>
        </w:rPr>
        <w:fldChar w:fldCharType="begin"/>
      </w:r>
      <w:r w:rsidRPr="00F02A12">
        <w:rPr>
          <w:sz w:val="20"/>
          <w:szCs w:val="20"/>
        </w:rPr>
        <w:instrText xml:space="preserve"> NOTEREF _Ref455735257 \h  \* MERGEFORMAT </w:instrText>
      </w:r>
      <w:r w:rsidRPr="00F02A12">
        <w:rPr>
          <w:sz w:val="20"/>
          <w:szCs w:val="20"/>
        </w:rPr>
      </w:r>
      <w:r w:rsidRPr="00F02A12">
        <w:rPr>
          <w:sz w:val="20"/>
          <w:szCs w:val="20"/>
        </w:rPr>
        <w:fldChar w:fldCharType="separate"/>
      </w:r>
      <w:r>
        <w:rPr>
          <w:sz w:val="20"/>
          <w:szCs w:val="20"/>
        </w:rPr>
        <w:t>41</w:t>
      </w:r>
      <w:r w:rsidRPr="00F02A12">
        <w:rPr>
          <w:sz w:val="20"/>
          <w:szCs w:val="20"/>
        </w:rPr>
        <w:fldChar w:fldCharType="end"/>
      </w:r>
      <w:r w:rsidRPr="00F02A12">
        <w:rPr>
          <w:sz w:val="20"/>
          <w:szCs w:val="20"/>
        </w:rPr>
        <w:t xml:space="preserve"> </w:t>
      </w:r>
      <w:r w:rsidRPr="00F02A12">
        <w:rPr>
          <w:i/>
          <w:sz w:val="20"/>
          <w:szCs w:val="20"/>
        </w:rPr>
        <w:t xml:space="preserve">infra </w:t>
      </w:r>
      <w:r w:rsidRPr="00F02A12">
        <w:rPr>
          <w:sz w:val="20"/>
          <w:szCs w:val="20"/>
        </w:rPr>
        <w:t>and accompanying text.</w:t>
      </w:r>
    </w:p>
  </w:footnote>
  <w:footnote w:id="39">
    <w:p w:rsidR="000373FF" w:rsidRPr="00F02A12" w:rsidRDefault="000373FF" w:rsidP="00F02A12">
      <w:pPr>
        <w:autoSpaceDE w:val="0"/>
        <w:autoSpaceDN w:val="0"/>
        <w:adjustRightInd w:val="0"/>
        <w:spacing w:after="0" w:line="240" w:lineRule="auto"/>
        <w:jc w:val="both"/>
        <w:rPr>
          <w:rFonts w:cs="Times New Roman"/>
          <w:sz w:val="20"/>
          <w:szCs w:val="20"/>
          <w:lang w:val="en-US"/>
        </w:rPr>
      </w:pPr>
      <w:r w:rsidRPr="00F02A12">
        <w:rPr>
          <w:rStyle w:val="Refdenotaderodap"/>
          <w:rFonts w:cs="Times New Roman"/>
          <w:sz w:val="20"/>
          <w:szCs w:val="20"/>
        </w:rPr>
        <w:footnoteRef/>
      </w:r>
      <w:r w:rsidRPr="00F02A12">
        <w:rPr>
          <w:rFonts w:cs="Times New Roman"/>
          <w:sz w:val="20"/>
          <w:szCs w:val="20"/>
          <w:lang w:val="en-US"/>
        </w:rPr>
        <w:t xml:space="preserve"> Naomi R. </w:t>
      </w:r>
      <w:proofErr w:type="spellStart"/>
      <w:r w:rsidRPr="00F02A12">
        <w:rPr>
          <w:rFonts w:cs="Times New Roman"/>
          <w:sz w:val="20"/>
          <w:szCs w:val="20"/>
          <w:lang w:val="en-US"/>
        </w:rPr>
        <w:t>Lamoreaux</w:t>
      </w:r>
      <w:proofErr w:type="spellEnd"/>
      <w:r w:rsidRPr="00F02A12">
        <w:rPr>
          <w:rFonts w:cs="Times New Roman"/>
          <w:sz w:val="20"/>
          <w:szCs w:val="20"/>
          <w:lang w:val="en-US"/>
        </w:rPr>
        <w:t xml:space="preserve"> &amp; Jean-Laurent Rosenthal, </w:t>
      </w:r>
      <w:r w:rsidRPr="00F02A12">
        <w:rPr>
          <w:rFonts w:cs="Times New Roman"/>
          <w:i/>
          <w:sz w:val="20"/>
          <w:szCs w:val="20"/>
          <w:lang w:val="en-US"/>
        </w:rPr>
        <w:t>Corporate Governance and the Plight of Minority Shareholders in the United States before the Great Depression</w:t>
      </w:r>
      <w:r w:rsidRPr="00F02A12">
        <w:rPr>
          <w:rFonts w:cs="Times New Roman"/>
          <w:sz w:val="20"/>
          <w:szCs w:val="20"/>
          <w:lang w:val="en-US"/>
        </w:rPr>
        <w:t xml:space="preserve">, </w:t>
      </w:r>
      <w:r w:rsidRPr="00F02A12">
        <w:rPr>
          <w:rFonts w:cs="Times New Roman"/>
          <w:i/>
          <w:sz w:val="20"/>
          <w:szCs w:val="20"/>
          <w:lang w:val="en-US"/>
        </w:rPr>
        <w:t xml:space="preserve">in </w:t>
      </w:r>
      <w:r w:rsidRPr="00F02A12">
        <w:rPr>
          <w:rFonts w:cs="Times New Roman"/>
          <w:smallCaps/>
          <w:sz w:val="20"/>
          <w:szCs w:val="20"/>
          <w:lang w:val="en-US"/>
        </w:rPr>
        <w:t>Corruption and Reform: Lessons from America’s Economic History</w:t>
      </w:r>
      <w:r w:rsidRPr="00F02A12">
        <w:rPr>
          <w:rFonts w:cs="Times New Roman"/>
          <w:sz w:val="20"/>
          <w:szCs w:val="20"/>
          <w:lang w:val="en-US"/>
        </w:rPr>
        <w:t xml:space="preserve"> (Edward L. </w:t>
      </w:r>
      <w:proofErr w:type="spellStart"/>
      <w:r w:rsidRPr="00F02A12">
        <w:rPr>
          <w:rFonts w:cs="Times New Roman"/>
          <w:sz w:val="20"/>
          <w:szCs w:val="20"/>
          <w:lang w:val="en-US"/>
        </w:rPr>
        <w:t>Glaeser</w:t>
      </w:r>
      <w:proofErr w:type="spellEnd"/>
      <w:r w:rsidRPr="00F02A12">
        <w:rPr>
          <w:rFonts w:cs="Times New Roman"/>
          <w:sz w:val="20"/>
          <w:szCs w:val="20"/>
          <w:lang w:val="en-US"/>
        </w:rPr>
        <w:t xml:space="preserve"> &amp; Claudia Goldin eds., 2006). </w:t>
      </w:r>
    </w:p>
  </w:footnote>
  <w:footnote w:id="40">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i/>
          <w:sz w:val="20"/>
          <w:szCs w:val="20"/>
        </w:rPr>
        <w:t xml:space="preserve">Id. </w:t>
      </w:r>
      <w:r w:rsidRPr="00F02A12">
        <w:rPr>
          <w:rFonts w:cs="Times New Roman"/>
          <w:sz w:val="20"/>
          <w:szCs w:val="20"/>
        </w:rPr>
        <w:t xml:space="preserve"> </w:t>
      </w:r>
      <w:r w:rsidRPr="00F02A12">
        <w:rPr>
          <w:rFonts w:cs="Times New Roman"/>
          <w:i/>
          <w:sz w:val="20"/>
          <w:szCs w:val="20"/>
        </w:rPr>
        <w:t xml:space="preserve">See also </w:t>
      </w:r>
      <w:r w:rsidRPr="00F02A12">
        <w:rPr>
          <w:rFonts w:cs="Times New Roman"/>
          <w:sz w:val="20"/>
          <w:szCs w:val="20"/>
        </w:rPr>
        <w:t xml:space="preserve">Naomi </w:t>
      </w:r>
      <w:proofErr w:type="spellStart"/>
      <w:r w:rsidRPr="00F02A12">
        <w:rPr>
          <w:rFonts w:cs="Times New Roman"/>
          <w:sz w:val="20"/>
          <w:szCs w:val="20"/>
        </w:rPr>
        <w:t>Lamoreaux</w:t>
      </w:r>
      <w:proofErr w:type="spellEnd"/>
      <w:r w:rsidRPr="00F02A12">
        <w:rPr>
          <w:rFonts w:cs="Times New Roman"/>
          <w:sz w:val="20"/>
          <w:szCs w:val="20"/>
        </w:rPr>
        <w:t xml:space="preserve">, </w:t>
      </w:r>
      <w:r w:rsidRPr="00F02A12">
        <w:rPr>
          <w:rFonts w:cs="Times New Roman"/>
          <w:i/>
          <w:sz w:val="20"/>
          <w:szCs w:val="20"/>
        </w:rPr>
        <w:t>Partnerships, Corporations, and the Theory of the Firm</w:t>
      </w:r>
      <w:r w:rsidRPr="00F02A12">
        <w:rPr>
          <w:rFonts w:cs="Times New Roman"/>
          <w:sz w:val="20"/>
          <w:szCs w:val="20"/>
        </w:rPr>
        <w:t xml:space="preserve">, 88 </w:t>
      </w:r>
      <w:r w:rsidRPr="00F02A12">
        <w:rPr>
          <w:rFonts w:cs="Times New Roman"/>
          <w:smallCaps/>
          <w:sz w:val="20"/>
          <w:szCs w:val="20"/>
        </w:rPr>
        <w:t>Am. Econ. Rev.</w:t>
      </w:r>
      <w:r w:rsidRPr="00F02A12">
        <w:rPr>
          <w:rFonts w:cs="Times New Roman"/>
          <w:sz w:val="20"/>
          <w:szCs w:val="20"/>
        </w:rPr>
        <w:t xml:space="preserve"> 66, 66 (1998) (arguing that the high level of “firmness”—or protection against hold-up—provided by the corporate form “was not always desirable from the standpoint of entrepreneurs”). </w:t>
      </w:r>
      <w:proofErr w:type="gramStart"/>
      <w:r w:rsidRPr="00F02A12">
        <w:rPr>
          <w:rFonts w:cs="Times New Roman"/>
          <w:sz w:val="20"/>
          <w:szCs w:val="20"/>
        </w:rPr>
        <w:t>The traditional partnership form differs from the corporate form in numerous respects: (</w:t>
      </w:r>
      <w:proofErr w:type="spellStart"/>
      <w:r w:rsidRPr="00F02A12">
        <w:rPr>
          <w:rFonts w:cs="Times New Roman"/>
          <w:sz w:val="20"/>
          <w:szCs w:val="20"/>
        </w:rPr>
        <w:t>i</w:t>
      </w:r>
      <w:proofErr w:type="spellEnd"/>
      <w:r w:rsidRPr="00F02A12">
        <w:rPr>
          <w:rFonts w:cs="Times New Roman"/>
          <w:sz w:val="20"/>
          <w:szCs w:val="20"/>
        </w:rPr>
        <w:t>) it lacks legal personality, (ii) any partner can bind the partnerships in contract, (ii) partners are jointly and severally liable for the partnership’s obligations, (iii) the withdrawal or death of any partner triggers the dissolution of the partnership, and (iv) any creditor of the partner may trigger a dissolution of the partnership.</w:t>
      </w:r>
      <w:proofErr w:type="gramEnd"/>
      <w:r w:rsidRPr="00F02A12">
        <w:rPr>
          <w:rFonts w:cs="Times New Roman"/>
          <w:sz w:val="20"/>
          <w:szCs w:val="20"/>
        </w:rPr>
        <w:t xml:space="preserve"> </w:t>
      </w:r>
    </w:p>
  </w:footnote>
  <w:footnote w:id="4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Carlos L. </w:t>
      </w:r>
      <w:proofErr w:type="spellStart"/>
      <w:r w:rsidRPr="00F02A12">
        <w:rPr>
          <w:sz w:val="20"/>
          <w:szCs w:val="20"/>
        </w:rPr>
        <w:t>Israels</w:t>
      </w:r>
      <w:proofErr w:type="spellEnd"/>
      <w:r w:rsidRPr="00F02A12">
        <w:rPr>
          <w:sz w:val="20"/>
          <w:szCs w:val="20"/>
        </w:rPr>
        <w:t xml:space="preserve">, </w:t>
      </w:r>
      <w:proofErr w:type="gramStart"/>
      <w:r w:rsidRPr="00F02A12">
        <w:rPr>
          <w:i/>
          <w:sz w:val="20"/>
          <w:szCs w:val="20"/>
        </w:rPr>
        <w:t>The</w:t>
      </w:r>
      <w:proofErr w:type="gramEnd"/>
      <w:r w:rsidRPr="00F02A12">
        <w:rPr>
          <w:i/>
          <w:sz w:val="20"/>
          <w:szCs w:val="20"/>
        </w:rPr>
        <w:t xml:space="preserve"> Sacred Cow of Corporate Existence: Problems of Deadlock and Dissolution</w:t>
      </w:r>
      <w:r w:rsidRPr="00F02A12">
        <w:rPr>
          <w:sz w:val="20"/>
          <w:szCs w:val="20"/>
        </w:rPr>
        <w:t>, 19 U</w:t>
      </w:r>
      <w:r w:rsidRPr="00F02A12">
        <w:rPr>
          <w:smallCaps/>
          <w:sz w:val="20"/>
          <w:szCs w:val="20"/>
        </w:rPr>
        <w:t>. Chi. L. Rev</w:t>
      </w:r>
      <w:r w:rsidRPr="00F02A12">
        <w:rPr>
          <w:sz w:val="20"/>
          <w:szCs w:val="20"/>
        </w:rPr>
        <w:t xml:space="preserve">. 778 (1952); J. A. C. Hetherington &amp; Michael P. Dooley, </w:t>
      </w:r>
      <w:r w:rsidRPr="00F02A12">
        <w:rPr>
          <w:i/>
          <w:sz w:val="20"/>
          <w:szCs w:val="20"/>
        </w:rPr>
        <w:t>Illiquidity and Exploitation: A Proposed Statutory Solution to the Remaining Close Corporation Problem</w:t>
      </w:r>
      <w:r w:rsidRPr="00F02A12">
        <w:rPr>
          <w:sz w:val="20"/>
          <w:szCs w:val="20"/>
        </w:rPr>
        <w:t>, 63 V</w:t>
      </w:r>
      <w:r w:rsidRPr="00F02A12">
        <w:rPr>
          <w:smallCaps/>
          <w:sz w:val="20"/>
          <w:szCs w:val="20"/>
        </w:rPr>
        <w:t>a. L. Rev</w:t>
      </w:r>
      <w:r w:rsidRPr="00F02A12">
        <w:rPr>
          <w:sz w:val="20"/>
          <w:szCs w:val="20"/>
        </w:rPr>
        <w:t xml:space="preserve">. 1 (1977). </w:t>
      </w:r>
    </w:p>
  </w:footnote>
  <w:footnote w:id="42">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Hetherington &amp; Dooley, </w:t>
      </w:r>
      <w:r w:rsidRPr="00F02A12">
        <w:rPr>
          <w:i/>
          <w:sz w:val="20"/>
          <w:szCs w:val="20"/>
        </w:rPr>
        <w:t xml:space="preserve">supra </w:t>
      </w:r>
      <w:r w:rsidRPr="00F02A12">
        <w:rPr>
          <w:sz w:val="20"/>
          <w:szCs w:val="20"/>
        </w:rPr>
        <w:t>note</w:t>
      </w:r>
      <w:r w:rsidRPr="00F02A12">
        <w:rPr>
          <w:i/>
          <w:sz w:val="20"/>
          <w:szCs w:val="20"/>
        </w:rPr>
        <w:t xml:space="preserve"> </w:t>
      </w:r>
      <w:r w:rsidRPr="00F02A12">
        <w:rPr>
          <w:sz w:val="20"/>
          <w:szCs w:val="20"/>
        </w:rPr>
        <w:fldChar w:fldCharType="begin"/>
      </w:r>
      <w:r w:rsidRPr="00F02A12">
        <w:rPr>
          <w:sz w:val="20"/>
          <w:szCs w:val="20"/>
        </w:rPr>
        <w:instrText xml:space="preserve"> NOTEREF _Ref455735257 \h  \* MERGEFORMAT </w:instrText>
      </w:r>
      <w:r w:rsidRPr="00F02A12">
        <w:rPr>
          <w:sz w:val="20"/>
          <w:szCs w:val="20"/>
        </w:rPr>
      </w:r>
      <w:r w:rsidRPr="00F02A12">
        <w:rPr>
          <w:sz w:val="20"/>
          <w:szCs w:val="20"/>
        </w:rPr>
        <w:fldChar w:fldCharType="separate"/>
      </w:r>
      <w:r>
        <w:rPr>
          <w:sz w:val="20"/>
          <w:szCs w:val="20"/>
        </w:rPr>
        <w:t>41</w:t>
      </w:r>
      <w:r w:rsidRPr="00F02A12">
        <w:rPr>
          <w:sz w:val="20"/>
          <w:szCs w:val="20"/>
        </w:rPr>
        <w:fldChar w:fldCharType="end"/>
      </w:r>
      <w:r w:rsidRPr="00F02A12">
        <w:rPr>
          <w:sz w:val="20"/>
          <w:szCs w:val="20"/>
        </w:rPr>
        <w:t xml:space="preserve">, at </w:t>
      </w:r>
      <w:proofErr w:type="gramStart"/>
      <w:r w:rsidRPr="00F02A12">
        <w:rPr>
          <w:sz w:val="20"/>
          <w:szCs w:val="20"/>
        </w:rPr>
        <w:t>2</w:t>
      </w:r>
      <w:proofErr w:type="gramEnd"/>
      <w:r w:rsidRPr="00F02A12">
        <w:rPr>
          <w:sz w:val="20"/>
          <w:szCs w:val="20"/>
        </w:rPr>
        <w:t xml:space="preserve">. </w:t>
      </w:r>
    </w:p>
  </w:footnote>
  <w:footnote w:id="4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For a description of statutory and case law on the subject, </w:t>
      </w:r>
      <w:r w:rsidRPr="00F02A12">
        <w:rPr>
          <w:i/>
          <w:sz w:val="20"/>
          <w:szCs w:val="20"/>
        </w:rPr>
        <w:t xml:space="preserve">see </w:t>
      </w:r>
      <w:r w:rsidRPr="00F02A12">
        <w:rPr>
          <w:sz w:val="20"/>
          <w:szCs w:val="20"/>
        </w:rPr>
        <w:t xml:space="preserve">Robert B. Thompson, The Shareholder's Cause of Action for Oppression, </w:t>
      </w:r>
      <w:proofErr w:type="gramStart"/>
      <w:r w:rsidRPr="00F02A12">
        <w:rPr>
          <w:sz w:val="20"/>
          <w:szCs w:val="20"/>
        </w:rPr>
        <w:t>48</w:t>
      </w:r>
      <w:proofErr w:type="gramEnd"/>
      <w:r w:rsidRPr="00F02A12">
        <w:rPr>
          <w:sz w:val="20"/>
          <w:szCs w:val="20"/>
        </w:rPr>
        <w:t xml:space="preserve"> </w:t>
      </w:r>
      <w:r w:rsidRPr="00F02A12">
        <w:rPr>
          <w:smallCaps/>
          <w:sz w:val="20"/>
          <w:szCs w:val="20"/>
        </w:rPr>
        <w:t>Bus. Law.</w:t>
      </w:r>
      <w:r w:rsidRPr="00F02A12">
        <w:rPr>
          <w:sz w:val="20"/>
          <w:szCs w:val="20"/>
        </w:rPr>
        <w:t xml:space="preserve"> </w:t>
      </w:r>
      <w:proofErr w:type="gramStart"/>
      <w:r w:rsidRPr="00F02A12">
        <w:rPr>
          <w:sz w:val="20"/>
          <w:szCs w:val="20"/>
        </w:rPr>
        <w:t>699</w:t>
      </w:r>
      <w:proofErr w:type="gramEnd"/>
      <w:r w:rsidRPr="00F02A12">
        <w:rPr>
          <w:sz w:val="20"/>
          <w:szCs w:val="20"/>
        </w:rPr>
        <w:t xml:space="preserve"> (1993)</w:t>
      </w:r>
      <w:r w:rsidRPr="00F02A12">
        <w:rPr>
          <w:i/>
          <w:sz w:val="20"/>
          <w:szCs w:val="20"/>
        </w:rPr>
        <w:t xml:space="preserve">. </w:t>
      </w:r>
      <w:r w:rsidRPr="00F02A12">
        <w:rPr>
          <w:sz w:val="20"/>
          <w:szCs w:val="20"/>
        </w:rPr>
        <w:t xml:space="preserve">Robert B. Thompson, </w:t>
      </w:r>
      <w:r w:rsidRPr="00F02A12">
        <w:rPr>
          <w:i/>
          <w:sz w:val="20"/>
          <w:szCs w:val="20"/>
        </w:rPr>
        <w:t>Corporate Dissolution and Shareholders’ Reasonable Expectations</w:t>
      </w:r>
      <w:r w:rsidRPr="00F02A12">
        <w:rPr>
          <w:sz w:val="20"/>
          <w:szCs w:val="20"/>
        </w:rPr>
        <w:t xml:space="preserve">, 66 </w:t>
      </w:r>
      <w:r w:rsidRPr="00F02A12">
        <w:rPr>
          <w:smallCaps/>
          <w:sz w:val="20"/>
          <w:szCs w:val="20"/>
        </w:rPr>
        <w:t xml:space="preserve">Wash. </w:t>
      </w:r>
      <w:proofErr w:type="gramStart"/>
      <w:r w:rsidRPr="00F02A12">
        <w:rPr>
          <w:smallCaps/>
          <w:sz w:val="20"/>
          <w:szCs w:val="20"/>
        </w:rPr>
        <w:t>U. L. Q.</w:t>
      </w:r>
      <w:r w:rsidRPr="00F02A12">
        <w:rPr>
          <w:sz w:val="20"/>
          <w:szCs w:val="20"/>
        </w:rPr>
        <w:t xml:space="preserve"> 193 (1988) (noting that “the statutory grounds for judicial dissolution are now substantially broader than reasons given in earlier statutes and modern courts are more likely than their predecessors to interpret statutory grounds for dissolution in a way that provides relief for minority shareholders” and that “courts increasingly grant alternative remedies even in the absence of specific statutory authorization”).</w:t>
      </w:r>
      <w:proofErr w:type="gramEnd"/>
    </w:p>
  </w:footnote>
  <w:footnote w:id="44">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smallCaps/>
          <w:sz w:val="20"/>
          <w:szCs w:val="20"/>
        </w:rPr>
        <w:t xml:space="preserve">Frank H. Easterbrook &amp; Daniel R. </w:t>
      </w:r>
      <w:proofErr w:type="spellStart"/>
      <w:r w:rsidRPr="00F02A12">
        <w:rPr>
          <w:smallCaps/>
          <w:sz w:val="20"/>
          <w:szCs w:val="20"/>
        </w:rPr>
        <w:t>Fischel</w:t>
      </w:r>
      <w:proofErr w:type="spellEnd"/>
      <w:r w:rsidRPr="00F02A12">
        <w:rPr>
          <w:smallCaps/>
          <w:sz w:val="20"/>
          <w:szCs w:val="20"/>
        </w:rPr>
        <w:t xml:space="preserve">, The Economic Structure of Corporate Law </w:t>
      </w:r>
      <w:r w:rsidRPr="00F02A12">
        <w:rPr>
          <w:sz w:val="20"/>
          <w:szCs w:val="20"/>
        </w:rPr>
        <w:t xml:space="preserve">238-43 (1991); Rock &amp; </w:t>
      </w:r>
      <w:proofErr w:type="spellStart"/>
      <w:r w:rsidRPr="00F02A12">
        <w:rPr>
          <w:sz w:val="20"/>
          <w:szCs w:val="20"/>
        </w:rPr>
        <w:t>Wachter</w:t>
      </w:r>
      <w:proofErr w:type="spellEnd"/>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_Ref455570654 \h  \* MERGEFORMAT </w:instrText>
      </w:r>
      <w:r w:rsidRPr="00F02A12">
        <w:rPr>
          <w:sz w:val="20"/>
          <w:szCs w:val="20"/>
        </w:rPr>
      </w:r>
      <w:r w:rsidRPr="00F02A12">
        <w:rPr>
          <w:sz w:val="20"/>
          <w:szCs w:val="20"/>
        </w:rPr>
        <w:fldChar w:fldCharType="separate"/>
      </w:r>
      <w:r>
        <w:rPr>
          <w:sz w:val="20"/>
          <w:szCs w:val="20"/>
        </w:rPr>
        <w:t>32</w:t>
      </w:r>
      <w:r w:rsidRPr="00F02A12">
        <w:rPr>
          <w:sz w:val="20"/>
          <w:szCs w:val="20"/>
        </w:rPr>
        <w:fldChar w:fldCharType="end"/>
      </w:r>
      <w:r w:rsidRPr="00F02A12">
        <w:rPr>
          <w:sz w:val="20"/>
          <w:szCs w:val="20"/>
        </w:rPr>
        <w:t xml:space="preserve">. </w:t>
      </w:r>
    </w:p>
  </w:footnote>
  <w:footnote w:id="45">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The earliest precedent acceding to a partial dissolution of an S.A. dates back to 1982. </w:t>
      </w:r>
      <w:r w:rsidRPr="00F02A12">
        <w:rPr>
          <w:sz w:val="20"/>
          <w:szCs w:val="20"/>
          <w:lang w:val="pt-BR"/>
        </w:rPr>
        <w:t xml:space="preserve">TJMG, Apelação Cível 58.092, Rel. Des. Danilo Furtado, J. Nov. 17, 1982, RF 286/281. </w:t>
      </w:r>
      <w:r w:rsidRPr="00F02A12">
        <w:rPr>
          <w:sz w:val="20"/>
          <w:szCs w:val="20"/>
        </w:rPr>
        <w:t xml:space="preserve">Throughout the 1990s, however, most courts continued to deny requests for partial dissolution, which only </w:t>
      </w:r>
      <w:proofErr w:type="gramStart"/>
      <w:r w:rsidRPr="00F02A12">
        <w:rPr>
          <w:sz w:val="20"/>
          <w:szCs w:val="20"/>
        </w:rPr>
        <w:t>became generally accepted</w:t>
      </w:r>
      <w:proofErr w:type="gramEnd"/>
      <w:r w:rsidRPr="00F02A12">
        <w:rPr>
          <w:sz w:val="20"/>
          <w:szCs w:val="20"/>
        </w:rPr>
        <w:t xml:space="preserve"> in the late 2000s. </w:t>
      </w:r>
      <w:r w:rsidRPr="00F02A12">
        <w:rPr>
          <w:smallCaps/>
          <w:sz w:val="20"/>
          <w:szCs w:val="20"/>
        </w:rPr>
        <w:t xml:space="preserve">Nelson </w:t>
      </w:r>
      <w:proofErr w:type="spellStart"/>
      <w:r w:rsidRPr="00F02A12">
        <w:rPr>
          <w:smallCaps/>
          <w:sz w:val="20"/>
          <w:szCs w:val="20"/>
        </w:rPr>
        <w:t>Eizirik</w:t>
      </w:r>
      <w:proofErr w:type="spellEnd"/>
      <w:r w:rsidRPr="00F02A12">
        <w:rPr>
          <w:smallCaps/>
          <w:sz w:val="20"/>
          <w:szCs w:val="20"/>
        </w:rPr>
        <w:t xml:space="preserve">, A Lei das S/A </w:t>
      </w:r>
      <w:proofErr w:type="spellStart"/>
      <w:r w:rsidRPr="00F02A12">
        <w:rPr>
          <w:smallCaps/>
          <w:sz w:val="20"/>
          <w:szCs w:val="20"/>
        </w:rPr>
        <w:t>Comentada</w:t>
      </w:r>
      <w:proofErr w:type="spellEnd"/>
      <w:r w:rsidRPr="00F02A12">
        <w:rPr>
          <w:sz w:val="20"/>
          <w:szCs w:val="20"/>
        </w:rPr>
        <w:t xml:space="preserve"> 159-160 (2011). </w:t>
      </w:r>
    </w:p>
  </w:footnote>
  <w:footnote w:id="4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C21C6B">
        <w:rPr>
          <w:i/>
          <w:sz w:val="20"/>
          <w:szCs w:val="20"/>
        </w:rPr>
        <w:t>See</w:t>
      </w:r>
      <w:r>
        <w:rPr>
          <w:sz w:val="20"/>
          <w:szCs w:val="20"/>
        </w:rPr>
        <w:t xml:space="preserve">, </w:t>
      </w:r>
      <w:r>
        <w:rPr>
          <w:i/>
          <w:sz w:val="20"/>
          <w:szCs w:val="20"/>
        </w:rPr>
        <w:t>e.g.</w:t>
      </w:r>
      <w:r>
        <w:rPr>
          <w:sz w:val="20"/>
          <w:szCs w:val="20"/>
        </w:rPr>
        <w:t>, t</w:t>
      </w:r>
      <w:r w:rsidRPr="00C21C6B">
        <w:rPr>
          <w:sz w:val="20"/>
          <w:szCs w:val="20"/>
        </w:rPr>
        <w:t>he</w:t>
      </w:r>
      <w:r w:rsidRPr="00F02A12">
        <w:rPr>
          <w:sz w:val="20"/>
          <w:szCs w:val="20"/>
        </w:rPr>
        <w:t xml:space="preserve"> charter of navigation company </w:t>
      </w:r>
      <w:proofErr w:type="spellStart"/>
      <w:r w:rsidRPr="00F02A12">
        <w:rPr>
          <w:sz w:val="20"/>
          <w:szCs w:val="20"/>
        </w:rPr>
        <w:t>Companhia</w:t>
      </w:r>
      <w:proofErr w:type="spellEnd"/>
      <w:r w:rsidRPr="00F02A12">
        <w:rPr>
          <w:sz w:val="20"/>
          <w:szCs w:val="20"/>
        </w:rPr>
        <w:t xml:space="preserve"> </w:t>
      </w:r>
      <w:proofErr w:type="spellStart"/>
      <w:r w:rsidRPr="00F02A12">
        <w:rPr>
          <w:sz w:val="20"/>
          <w:szCs w:val="20"/>
        </w:rPr>
        <w:t>Per</w:t>
      </w:r>
      <w:r>
        <w:rPr>
          <w:sz w:val="20"/>
          <w:szCs w:val="20"/>
        </w:rPr>
        <w:t>nambucana</w:t>
      </w:r>
      <w:proofErr w:type="spellEnd"/>
      <w:r>
        <w:rPr>
          <w:sz w:val="20"/>
          <w:szCs w:val="20"/>
        </w:rPr>
        <w:t xml:space="preserve">, established in 1854 (providing that </w:t>
      </w:r>
      <w:r w:rsidRPr="00F02A12">
        <w:rPr>
          <w:sz w:val="20"/>
          <w:szCs w:val="20"/>
        </w:rPr>
        <w:t xml:space="preserve">“shareholders may not withdraw the value of their shares before liquidation” and that “the death of a shareholder does not lead to the company’s liquidation, and the heirs or representatives may not in any way </w:t>
      </w:r>
      <w:r>
        <w:rPr>
          <w:sz w:val="20"/>
          <w:szCs w:val="20"/>
        </w:rPr>
        <w:t>hinder the company’s operations</w:t>
      </w:r>
      <w:r w:rsidRPr="00F02A12">
        <w:rPr>
          <w:sz w:val="20"/>
          <w:szCs w:val="20"/>
        </w:rPr>
        <w:t>”</w:t>
      </w:r>
      <w:r>
        <w:rPr>
          <w:sz w:val="20"/>
          <w:szCs w:val="20"/>
        </w:rPr>
        <w:t>).</w:t>
      </w:r>
      <w:r w:rsidRPr="00F02A12">
        <w:rPr>
          <w:sz w:val="20"/>
          <w:szCs w:val="20"/>
        </w:rPr>
        <w:t xml:space="preserve"> Decree 1,413 of July 15, 1854, Arts. 9 and 45.</w:t>
      </w:r>
    </w:p>
  </w:footnote>
  <w:footnote w:id="47">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proofErr w:type="spellStart"/>
      <w:r w:rsidRPr="00F02A12">
        <w:rPr>
          <w:rFonts w:cs="Times New Roman"/>
          <w:sz w:val="20"/>
          <w:szCs w:val="20"/>
        </w:rPr>
        <w:t>Código</w:t>
      </w:r>
      <w:proofErr w:type="spellEnd"/>
      <w:r w:rsidRPr="00F02A12">
        <w:rPr>
          <w:rFonts w:cs="Times New Roman"/>
          <w:sz w:val="20"/>
          <w:szCs w:val="20"/>
        </w:rPr>
        <w:t xml:space="preserve"> </w:t>
      </w:r>
      <w:proofErr w:type="spellStart"/>
      <w:r w:rsidRPr="00F02A12">
        <w:rPr>
          <w:rFonts w:cs="Times New Roman"/>
          <w:sz w:val="20"/>
          <w:szCs w:val="20"/>
        </w:rPr>
        <w:t>Comercial</w:t>
      </w:r>
      <w:proofErr w:type="spellEnd"/>
      <w:r w:rsidRPr="00F02A12">
        <w:rPr>
          <w:rFonts w:cs="Times New Roman"/>
          <w:sz w:val="20"/>
          <w:szCs w:val="20"/>
        </w:rPr>
        <w:t xml:space="preserve">, Art. 295. </w:t>
      </w:r>
    </w:p>
  </w:footnote>
  <w:footnote w:id="4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Law 3,150 of Nov. 4, 1882, Art. </w:t>
      </w:r>
      <w:proofErr w:type="gramStart"/>
      <w:r w:rsidRPr="00F02A12">
        <w:rPr>
          <w:sz w:val="20"/>
          <w:szCs w:val="20"/>
        </w:rPr>
        <w:t>17</w:t>
      </w:r>
      <w:proofErr w:type="gramEnd"/>
      <w:r w:rsidRPr="00F02A12">
        <w:rPr>
          <w:sz w:val="20"/>
          <w:szCs w:val="20"/>
        </w:rPr>
        <w:t xml:space="preserve">, 6º; Decree-law 2,627 of Sept. 26, 1940. </w:t>
      </w:r>
    </w:p>
  </w:footnote>
  <w:footnote w:id="4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Law 6,404 of Dec. 15, 1976, Art. 206. Other statutory bases for dissolution include the expiration of its term, cases provided in the charter, the existence of a single shareholder, the end of legal authorization to operate (if required), the annulment of the act of incorporation, and the decision of an administrative authority (as determined by special statute).  </w:t>
      </w:r>
    </w:p>
  </w:footnote>
  <w:footnote w:id="50">
    <w:p w:rsidR="000373FF" w:rsidRPr="00F02A12" w:rsidRDefault="000373FF" w:rsidP="00F02A12">
      <w:pPr>
        <w:pStyle w:val="Textodenotaderodap"/>
        <w:jc w:val="both"/>
        <w:rPr>
          <w:smallCaps/>
          <w:sz w:val="20"/>
          <w:szCs w:val="20"/>
        </w:rPr>
      </w:pPr>
      <w:r w:rsidRPr="00F02A12">
        <w:rPr>
          <w:rStyle w:val="Refdenotaderodap"/>
          <w:sz w:val="20"/>
          <w:szCs w:val="20"/>
        </w:rPr>
        <w:footnoteRef/>
      </w:r>
      <w:r w:rsidRPr="00F02A12">
        <w:rPr>
          <w:sz w:val="20"/>
          <w:szCs w:val="20"/>
        </w:rPr>
        <w:t xml:space="preserve"> </w:t>
      </w:r>
      <w:r w:rsidRPr="00F02A12">
        <w:rPr>
          <w:i/>
          <w:sz w:val="20"/>
          <w:szCs w:val="20"/>
        </w:rPr>
        <w:t>Id.</w:t>
      </w:r>
      <w:r w:rsidRPr="00F02A12">
        <w:rPr>
          <w:sz w:val="20"/>
          <w:szCs w:val="20"/>
        </w:rPr>
        <w:t xml:space="preserve">, Art. 117, § </w:t>
      </w:r>
      <w:proofErr w:type="gramStart"/>
      <w:r w:rsidRPr="00F02A12">
        <w:rPr>
          <w:sz w:val="20"/>
          <w:szCs w:val="20"/>
        </w:rPr>
        <w:t>1</w:t>
      </w:r>
      <w:proofErr w:type="gramEnd"/>
      <w:r w:rsidRPr="00F02A12">
        <w:rPr>
          <w:sz w:val="20"/>
          <w:szCs w:val="20"/>
        </w:rPr>
        <w:t xml:space="preserve">º, </w:t>
      </w:r>
      <w:r w:rsidRPr="00F02A12">
        <w:rPr>
          <w:i/>
          <w:sz w:val="20"/>
          <w:szCs w:val="20"/>
        </w:rPr>
        <w:t xml:space="preserve">b. </w:t>
      </w:r>
      <w:r w:rsidRPr="00F02A12">
        <w:rPr>
          <w:sz w:val="20"/>
          <w:szCs w:val="20"/>
        </w:rPr>
        <w:t xml:space="preserve">For a comparative perspective, </w:t>
      </w:r>
      <w:r w:rsidRPr="00F02A12">
        <w:rPr>
          <w:i/>
          <w:sz w:val="20"/>
          <w:szCs w:val="20"/>
        </w:rPr>
        <w:t xml:space="preserve">see </w:t>
      </w:r>
      <w:r w:rsidRPr="00F02A12">
        <w:rPr>
          <w:sz w:val="20"/>
          <w:szCs w:val="20"/>
        </w:rPr>
        <w:t xml:space="preserve">Edward Rock et al., </w:t>
      </w:r>
      <w:r w:rsidRPr="00F02A12">
        <w:rPr>
          <w:i/>
          <w:sz w:val="20"/>
          <w:szCs w:val="20"/>
        </w:rPr>
        <w:t>Fundamental Changes</w:t>
      </w:r>
      <w:r w:rsidRPr="00F02A12">
        <w:rPr>
          <w:sz w:val="20"/>
          <w:szCs w:val="20"/>
        </w:rPr>
        <w:t xml:space="preserve">, </w:t>
      </w:r>
      <w:r w:rsidRPr="00F02A12">
        <w:rPr>
          <w:i/>
          <w:sz w:val="20"/>
          <w:szCs w:val="20"/>
        </w:rPr>
        <w:t xml:space="preserve">in </w:t>
      </w:r>
      <w:r w:rsidRPr="00F02A12">
        <w:rPr>
          <w:smallCaps/>
          <w:sz w:val="20"/>
          <w:szCs w:val="20"/>
        </w:rPr>
        <w:t xml:space="preserve">Anatomy of </w:t>
      </w:r>
      <w:proofErr w:type="spellStart"/>
      <w:r w:rsidRPr="00F02A12">
        <w:rPr>
          <w:smallCaps/>
          <w:sz w:val="20"/>
          <w:szCs w:val="20"/>
        </w:rPr>
        <w:t>Corproate</w:t>
      </w:r>
      <w:proofErr w:type="spellEnd"/>
      <w:r w:rsidRPr="00F02A12">
        <w:rPr>
          <w:smallCaps/>
          <w:sz w:val="20"/>
          <w:szCs w:val="20"/>
        </w:rPr>
        <w:t xml:space="preserve"> Law</w:t>
      </w:r>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_Ref451501819 \h  \* MERGEFORMAT </w:instrText>
      </w:r>
      <w:r w:rsidRPr="00F02A12">
        <w:rPr>
          <w:sz w:val="20"/>
          <w:szCs w:val="20"/>
        </w:rPr>
      </w:r>
      <w:r w:rsidRPr="00F02A12">
        <w:rPr>
          <w:sz w:val="20"/>
          <w:szCs w:val="20"/>
        </w:rPr>
        <w:fldChar w:fldCharType="separate"/>
      </w:r>
      <w:proofErr w:type="gramStart"/>
      <w:r>
        <w:rPr>
          <w:sz w:val="20"/>
          <w:szCs w:val="20"/>
        </w:rPr>
        <w:t>1</w:t>
      </w:r>
      <w:proofErr w:type="gramEnd"/>
      <w:r w:rsidRPr="00F02A12">
        <w:rPr>
          <w:sz w:val="20"/>
          <w:szCs w:val="20"/>
        </w:rPr>
        <w:fldChar w:fldCharType="end"/>
      </w:r>
      <w:r w:rsidRPr="00F02A12">
        <w:rPr>
          <w:sz w:val="20"/>
          <w:szCs w:val="20"/>
        </w:rPr>
        <w:t>.</w:t>
      </w:r>
    </w:p>
  </w:footnote>
  <w:footnote w:id="5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arts. </w:t>
      </w:r>
      <w:proofErr w:type="gramStart"/>
      <w:r w:rsidRPr="00F02A12">
        <w:rPr>
          <w:sz w:val="20"/>
          <w:szCs w:val="20"/>
        </w:rPr>
        <w:t>136</w:t>
      </w:r>
      <w:proofErr w:type="gramEnd"/>
      <w:r w:rsidRPr="00F02A12">
        <w:rPr>
          <w:sz w:val="20"/>
          <w:szCs w:val="20"/>
        </w:rPr>
        <w:t xml:space="preserve">-A and 137. </w:t>
      </w:r>
    </w:p>
  </w:footnote>
  <w:footnote w:id="52">
    <w:p w:rsidR="000373FF" w:rsidRPr="007B241C"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arts. </w:t>
      </w:r>
      <w:proofErr w:type="gramStart"/>
      <w:r w:rsidRPr="007B241C">
        <w:rPr>
          <w:sz w:val="20"/>
          <w:szCs w:val="20"/>
        </w:rPr>
        <w:t>137</w:t>
      </w:r>
      <w:proofErr w:type="gramEnd"/>
      <w:r w:rsidRPr="007B241C">
        <w:rPr>
          <w:sz w:val="20"/>
          <w:szCs w:val="20"/>
        </w:rPr>
        <w:t>, II and III.</w:t>
      </w:r>
    </w:p>
  </w:footnote>
  <w:footnote w:id="53">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7B241C">
        <w:rPr>
          <w:sz w:val="20"/>
          <w:szCs w:val="20"/>
        </w:rPr>
        <w:t xml:space="preserve"> Cite TJSP. </w:t>
      </w:r>
      <w:r w:rsidRPr="00F02A12">
        <w:rPr>
          <w:sz w:val="20"/>
          <w:szCs w:val="20"/>
          <w:lang w:val="pt-BR"/>
        </w:rPr>
        <w:t xml:space="preserve">[STJ?] </w:t>
      </w:r>
    </w:p>
  </w:footnote>
  <w:footnote w:id="54">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lang w:val="pt-BR"/>
        </w:rPr>
        <w:t xml:space="preserve"> </w:t>
      </w:r>
      <w:r w:rsidRPr="00F02A12">
        <w:rPr>
          <w:smallCaps/>
          <w:sz w:val="20"/>
          <w:szCs w:val="20"/>
          <w:lang w:val="pt-BR"/>
        </w:rPr>
        <w:t xml:space="preserve">Waldemar Martins Ferreira, As </w:t>
      </w:r>
      <w:proofErr w:type="spellStart"/>
      <w:r w:rsidRPr="00F02A12">
        <w:rPr>
          <w:smallCaps/>
          <w:sz w:val="20"/>
          <w:szCs w:val="20"/>
          <w:lang w:val="pt-BR"/>
        </w:rPr>
        <w:t>Directrizes</w:t>
      </w:r>
      <w:proofErr w:type="spellEnd"/>
      <w:r w:rsidRPr="00F02A12">
        <w:rPr>
          <w:smallCaps/>
          <w:sz w:val="20"/>
          <w:szCs w:val="20"/>
          <w:lang w:val="pt-BR"/>
        </w:rPr>
        <w:t xml:space="preserve"> do Direito Comercial Brasileiro</w:t>
      </w:r>
      <w:r w:rsidRPr="00F02A12">
        <w:rPr>
          <w:sz w:val="20"/>
          <w:szCs w:val="20"/>
          <w:lang w:val="pt-BR"/>
        </w:rPr>
        <w:t xml:space="preserve"> 101 (1933).</w:t>
      </w:r>
    </w:p>
  </w:footnote>
  <w:footnote w:id="55">
    <w:p w:rsidR="000373FF" w:rsidRPr="000373FF"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0373FF">
        <w:rPr>
          <w:rFonts w:cs="Times New Roman"/>
          <w:sz w:val="20"/>
          <w:szCs w:val="20"/>
        </w:rPr>
        <w:t xml:space="preserve"> </w:t>
      </w:r>
      <w:proofErr w:type="spellStart"/>
      <w:r w:rsidRPr="000373FF">
        <w:rPr>
          <w:rFonts w:cs="Times New Roman"/>
          <w:sz w:val="20"/>
          <w:szCs w:val="20"/>
        </w:rPr>
        <w:t>Guinnane</w:t>
      </w:r>
      <w:proofErr w:type="spellEnd"/>
      <w:r w:rsidRPr="000373FF">
        <w:rPr>
          <w:rFonts w:cs="Times New Roman"/>
          <w:sz w:val="20"/>
          <w:szCs w:val="20"/>
        </w:rPr>
        <w:t xml:space="preserve"> et al.</w:t>
      </w:r>
      <w:r w:rsidRPr="000373FF">
        <w:rPr>
          <w:rFonts w:cs="Times New Roman"/>
          <w:i/>
          <w:sz w:val="20"/>
          <w:szCs w:val="20"/>
        </w:rPr>
        <w:t xml:space="preserve">, supra </w:t>
      </w:r>
      <w:r w:rsidRPr="000373FF">
        <w:rPr>
          <w:rFonts w:cs="Times New Roman"/>
          <w:sz w:val="20"/>
          <w:szCs w:val="20"/>
        </w:rPr>
        <w:t xml:space="preserve">note </w:t>
      </w:r>
      <w:r w:rsidRPr="00F02A12">
        <w:rPr>
          <w:sz w:val="20"/>
          <w:szCs w:val="20"/>
        </w:rPr>
        <w:fldChar w:fldCharType="begin"/>
      </w:r>
      <w:r w:rsidRPr="000373FF">
        <w:rPr>
          <w:sz w:val="20"/>
          <w:szCs w:val="20"/>
        </w:rPr>
        <w:instrText xml:space="preserve"> NOTEREF _Ref451523796 \h  \* MERGEFORMAT </w:instrText>
      </w:r>
      <w:r w:rsidRPr="00F02A12">
        <w:rPr>
          <w:sz w:val="20"/>
          <w:szCs w:val="20"/>
        </w:rPr>
      </w:r>
      <w:r w:rsidRPr="00F02A12">
        <w:rPr>
          <w:sz w:val="20"/>
          <w:szCs w:val="20"/>
        </w:rPr>
        <w:fldChar w:fldCharType="separate"/>
      </w:r>
      <w:proofErr w:type="gramStart"/>
      <w:r w:rsidRPr="000373FF">
        <w:rPr>
          <w:sz w:val="20"/>
          <w:szCs w:val="20"/>
        </w:rPr>
        <w:t>8</w:t>
      </w:r>
      <w:proofErr w:type="gramEnd"/>
      <w:r w:rsidRPr="00F02A12">
        <w:rPr>
          <w:sz w:val="20"/>
          <w:szCs w:val="20"/>
        </w:rPr>
        <w:fldChar w:fldCharType="end"/>
      </w:r>
      <w:r w:rsidRPr="000373FF">
        <w:rPr>
          <w:rFonts w:cs="Times New Roman"/>
          <w:sz w:val="20"/>
          <w:szCs w:val="20"/>
        </w:rPr>
        <w:t xml:space="preserve">; Pargendler, </w:t>
      </w:r>
      <w:r w:rsidRPr="000373FF">
        <w:rPr>
          <w:rFonts w:cs="Times New Roman"/>
          <w:i/>
          <w:sz w:val="20"/>
          <w:szCs w:val="20"/>
        </w:rPr>
        <w:t xml:space="preserve">supra </w:t>
      </w:r>
      <w:r w:rsidRPr="000373FF">
        <w:rPr>
          <w:rFonts w:cs="Times New Roman"/>
          <w:sz w:val="20"/>
          <w:szCs w:val="20"/>
        </w:rPr>
        <w:t xml:space="preserve">note </w:t>
      </w:r>
      <w:r w:rsidRPr="00F02A12">
        <w:rPr>
          <w:sz w:val="20"/>
          <w:szCs w:val="20"/>
        </w:rPr>
        <w:fldChar w:fldCharType="begin"/>
      </w:r>
      <w:r w:rsidRPr="000373FF">
        <w:rPr>
          <w:sz w:val="20"/>
          <w:szCs w:val="20"/>
        </w:rPr>
        <w:instrText xml:space="preserve"> NOTEREF _Ref451523780 \h  \* MERGEFORMAT </w:instrText>
      </w:r>
      <w:r w:rsidRPr="00F02A12">
        <w:rPr>
          <w:sz w:val="20"/>
          <w:szCs w:val="20"/>
        </w:rPr>
      </w:r>
      <w:r w:rsidRPr="00F02A12">
        <w:rPr>
          <w:sz w:val="20"/>
          <w:szCs w:val="20"/>
        </w:rPr>
        <w:fldChar w:fldCharType="separate"/>
      </w:r>
      <w:r w:rsidRPr="000373FF">
        <w:rPr>
          <w:rFonts w:cs="Times New Roman"/>
          <w:sz w:val="20"/>
          <w:szCs w:val="20"/>
        </w:rPr>
        <w:t>10</w:t>
      </w:r>
      <w:r w:rsidRPr="00F02A12">
        <w:rPr>
          <w:sz w:val="20"/>
          <w:szCs w:val="20"/>
        </w:rPr>
        <w:fldChar w:fldCharType="end"/>
      </w:r>
      <w:r w:rsidRPr="000373FF">
        <w:rPr>
          <w:rFonts w:cs="Times New Roman"/>
          <w:sz w:val="20"/>
          <w:szCs w:val="20"/>
        </w:rPr>
        <w:t xml:space="preserve">.  </w:t>
      </w:r>
    </w:p>
  </w:footnote>
  <w:footnote w:id="56">
    <w:p w:rsidR="000373FF" w:rsidRPr="00D70F6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D70F62">
        <w:rPr>
          <w:rFonts w:cs="Times New Roman"/>
          <w:sz w:val="20"/>
          <w:szCs w:val="20"/>
        </w:rPr>
        <w:t xml:space="preserve"> Art. </w:t>
      </w:r>
      <w:proofErr w:type="gramStart"/>
      <w:r w:rsidRPr="00D70F62">
        <w:rPr>
          <w:rFonts w:cs="Times New Roman"/>
          <w:sz w:val="20"/>
          <w:szCs w:val="20"/>
        </w:rPr>
        <w:t>18</w:t>
      </w:r>
      <w:proofErr w:type="gramEnd"/>
      <w:r w:rsidRPr="00D70F62">
        <w:rPr>
          <w:rFonts w:cs="Times New Roman"/>
          <w:sz w:val="20"/>
          <w:szCs w:val="20"/>
        </w:rPr>
        <w:t>, Decree 3,708 of Jan. 10, 1919.</w:t>
      </w:r>
    </w:p>
  </w:footnote>
  <w:footnote w:id="57">
    <w:p w:rsidR="000373FF" w:rsidRPr="00D70F6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D70F62">
        <w:rPr>
          <w:rFonts w:cs="Times New Roman"/>
          <w:sz w:val="20"/>
          <w:szCs w:val="20"/>
        </w:rPr>
        <w:t xml:space="preserve"> </w:t>
      </w:r>
      <w:r w:rsidRPr="00D70F62">
        <w:rPr>
          <w:i/>
          <w:smallCaps/>
          <w:sz w:val="20"/>
          <w:szCs w:val="20"/>
        </w:rPr>
        <w:t>S</w:t>
      </w:r>
      <w:r w:rsidRPr="00D70F62">
        <w:rPr>
          <w:i/>
          <w:sz w:val="20"/>
          <w:szCs w:val="20"/>
        </w:rPr>
        <w:t>ee</w:t>
      </w:r>
      <w:r w:rsidRPr="00D70F62">
        <w:rPr>
          <w:sz w:val="20"/>
          <w:szCs w:val="20"/>
        </w:rPr>
        <w:t xml:space="preserve">, </w:t>
      </w:r>
      <w:r w:rsidRPr="00D70F62">
        <w:rPr>
          <w:i/>
          <w:sz w:val="20"/>
          <w:szCs w:val="20"/>
        </w:rPr>
        <w:t>e.g.</w:t>
      </w:r>
      <w:r w:rsidRPr="00D70F62">
        <w:rPr>
          <w:sz w:val="20"/>
          <w:szCs w:val="20"/>
        </w:rPr>
        <w:t xml:space="preserve">, </w:t>
      </w:r>
      <w:r w:rsidRPr="00D70F62">
        <w:rPr>
          <w:smallCaps/>
          <w:sz w:val="20"/>
          <w:szCs w:val="20"/>
        </w:rPr>
        <w:t xml:space="preserve">Alfredo Russel, </w:t>
      </w:r>
      <w:proofErr w:type="spellStart"/>
      <w:r w:rsidRPr="00D70F62">
        <w:rPr>
          <w:smallCaps/>
          <w:sz w:val="20"/>
          <w:szCs w:val="20"/>
        </w:rPr>
        <w:t>Curso</w:t>
      </w:r>
      <w:proofErr w:type="spellEnd"/>
      <w:r w:rsidRPr="00D70F62">
        <w:rPr>
          <w:smallCaps/>
          <w:sz w:val="20"/>
          <w:szCs w:val="20"/>
        </w:rPr>
        <w:t xml:space="preserve"> de </w:t>
      </w:r>
      <w:proofErr w:type="spellStart"/>
      <w:r w:rsidRPr="00D70F62">
        <w:rPr>
          <w:smallCaps/>
          <w:sz w:val="20"/>
          <w:szCs w:val="20"/>
        </w:rPr>
        <w:t>Direito</w:t>
      </w:r>
      <w:proofErr w:type="spellEnd"/>
      <w:r w:rsidRPr="00D70F62">
        <w:rPr>
          <w:smallCaps/>
          <w:sz w:val="20"/>
          <w:szCs w:val="20"/>
        </w:rPr>
        <w:t xml:space="preserve"> Commercial </w:t>
      </w:r>
      <w:proofErr w:type="spellStart"/>
      <w:r w:rsidRPr="00D70F62">
        <w:rPr>
          <w:smallCaps/>
          <w:sz w:val="20"/>
          <w:szCs w:val="20"/>
        </w:rPr>
        <w:t>Brasileiro</w:t>
      </w:r>
      <w:proofErr w:type="spellEnd"/>
      <w:r w:rsidRPr="00D70F62">
        <w:rPr>
          <w:sz w:val="20"/>
          <w:szCs w:val="20"/>
        </w:rPr>
        <w:t xml:space="preserve"> 369 (1923) (arguing that </w:t>
      </w:r>
      <w:proofErr w:type="spellStart"/>
      <w:r w:rsidRPr="00D70F62">
        <w:rPr>
          <w:sz w:val="20"/>
          <w:szCs w:val="20"/>
        </w:rPr>
        <w:t>limitadas</w:t>
      </w:r>
      <w:proofErr w:type="spellEnd"/>
      <w:r w:rsidRPr="00D70F62">
        <w:rPr>
          <w:sz w:val="20"/>
          <w:szCs w:val="20"/>
        </w:rPr>
        <w:t xml:space="preserve"> are subject to the same dissolution provisions as partnerships); </w:t>
      </w:r>
      <w:proofErr w:type="spellStart"/>
      <w:r w:rsidRPr="00D70F62">
        <w:rPr>
          <w:rFonts w:cs="Times New Roman"/>
          <w:smallCaps/>
          <w:sz w:val="20"/>
          <w:szCs w:val="20"/>
        </w:rPr>
        <w:t>Waldemar</w:t>
      </w:r>
      <w:proofErr w:type="spellEnd"/>
      <w:r w:rsidRPr="00D70F62">
        <w:rPr>
          <w:rFonts w:cs="Times New Roman"/>
          <w:smallCaps/>
          <w:sz w:val="20"/>
          <w:szCs w:val="20"/>
        </w:rPr>
        <w:t xml:space="preserve"> Ferreira</w:t>
      </w:r>
      <w:r w:rsidRPr="00D70F62">
        <w:rPr>
          <w:rFonts w:cs="Times New Roman"/>
          <w:sz w:val="20"/>
          <w:szCs w:val="20"/>
        </w:rPr>
        <w:t xml:space="preserve">, </w:t>
      </w:r>
      <w:proofErr w:type="spellStart"/>
      <w:r w:rsidRPr="00D70F62">
        <w:rPr>
          <w:rFonts w:cs="Times New Roman"/>
          <w:smallCaps/>
          <w:sz w:val="20"/>
          <w:szCs w:val="20"/>
        </w:rPr>
        <w:t>Sociedades</w:t>
      </w:r>
      <w:proofErr w:type="spellEnd"/>
      <w:r w:rsidRPr="00D70F62">
        <w:rPr>
          <w:rFonts w:cs="Times New Roman"/>
          <w:smallCaps/>
          <w:sz w:val="20"/>
          <w:szCs w:val="20"/>
        </w:rPr>
        <w:t xml:space="preserve"> </w:t>
      </w:r>
      <w:proofErr w:type="spellStart"/>
      <w:r w:rsidRPr="00D70F62">
        <w:rPr>
          <w:rFonts w:cs="Times New Roman"/>
          <w:smallCaps/>
          <w:sz w:val="20"/>
          <w:szCs w:val="20"/>
        </w:rPr>
        <w:t>por</w:t>
      </w:r>
      <w:proofErr w:type="spellEnd"/>
      <w:r w:rsidRPr="00D70F62">
        <w:rPr>
          <w:rFonts w:cs="Times New Roman"/>
          <w:smallCaps/>
          <w:sz w:val="20"/>
          <w:szCs w:val="20"/>
        </w:rPr>
        <w:t xml:space="preserve"> Quotas</w:t>
      </w:r>
      <w:r w:rsidRPr="00D70F62">
        <w:rPr>
          <w:rFonts w:cs="Times New Roman"/>
          <w:sz w:val="20"/>
          <w:szCs w:val="20"/>
        </w:rPr>
        <w:t xml:space="preserve"> 908 </w:t>
      </w:r>
      <w:r w:rsidRPr="00D70F62">
        <w:rPr>
          <w:sz w:val="20"/>
          <w:szCs w:val="20"/>
        </w:rPr>
        <w:t>(</w:t>
      </w:r>
      <w:proofErr w:type="gramStart"/>
      <w:r w:rsidRPr="00D70F62">
        <w:rPr>
          <w:sz w:val="20"/>
          <w:szCs w:val="20"/>
        </w:rPr>
        <w:t>5th</w:t>
      </w:r>
      <w:proofErr w:type="gramEnd"/>
      <w:r w:rsidRPr="00D70F62">
        <w:rPr>
          <w:sz w:val="20"/>
          <w:szCs w:val="20"/>
        </w:rPr>
        <w:t xml:space="preserve"> ed. 1958). </w:t>
      </w:r>
      <w:r w:rsidRPr="00D70F62">
        <w:rPr>
          <w:i/>
          <w:sz w:val="20"/>
          <w:szCs w:val="20"/>
        </w:rPr>
        <w:t>But see</w:t>
      </w:r>
      <w:r w:rsidRPr="00D70F62">
        <w:rPr>
          <w:sz w:val="20"/>
          <w:szCs w:val="20"/>
        </w:rPr>
        <w:t xml:space="preserve">, for different interpretations, </w:t>
      </w:r>
      <w:r w:rsidRPr="00D70F62">
        <w:rPr>
          <w:smallCaps/>
          <w:sz w:val="20"/>
          <w:szCs w:val="20"/>
        </w:rPr>
        <w:t xml:space="preserve">Mauro Rodrigues </w:t>
      </w:r>
      <w:proofErr w:type="spellStart"/>
      <w:r w:rsidRPr="00D70F62">
        <w:rPr>
          <w:smallCaps/>
          <w:sz w:val="20"/>
          <w:szCs w:val="20"/>
        </w:rPr>
        <w:t>Penteado</w:t>
      </w:r>
      <w:proofErr w:type="spellEnd"/>
      <w:r w:rsidRPr="00D70F62">
        <w:rPr>
          <w:smallCaps/>
          <w:sz w:val="20"/>
          <w:szCs w:val="20"/>
        </w:rPr>
        <w:t xml:space="preserve">, </w:t>
      </w:r>
      <w:proofErr w:type="spellStart"/>
      <w:r w:rsidRPr="00D70F62">
        <w:rPr>
          <w:smallCaps/>
          <w:sz w:val="20"/>
          <w:szCs w:val="20"/>
        </w:rPr>
        <w:t>Dissolução</w:t>
      </w:r>
      <w:proofErr w:type="spellEnd"/>
      <w:r w:rsidRPr="00D70F62">
        <w:rPr>
          <w:smallCaps/>
          <w:sz w:val="20"/>
          <w:szCs w:val="20"/>
        </w:rPr>
        <w:t xml:space="preserve"> e </w:t>
      </w:r>
      <w:proofErr w:type="spellStart"/>
      <w:r w:rsidRPr="00D70F62">
        <w:rPr>
          <w:smallCaps/>
          <w:sz w:val="20"/>
          <w:szCs w:val="20"/>
        </w:rPr>
        <w:t>Liquidação</w:t>
      </w:r>
      <w:proofErr w:type="spellEnd"/>
      <w:r w:rsidRPr="00D70F62">
        <w:rPr>
          <w:smallCaps/>
          <w:sz w:val="20"/>
          <w:szCs w:val="20"/>
        </w:rPr>
        <w:t xml:space="preserve"> de </w:t>
      </w:r>
      <w:proofErr w:type="spellStart"/>
      <w:r w:rsidRPr="00D70F62">
        <w:rPr>
          <w:smallCaps/>
          <w:sz w:val="20"/>
          <w:szCs w:val="20"/>
        </w:rPr>
        <w:t>Sociedades</w:t>
      </w:r>
      <w:proofErr w:type="spellEnd"/>
      <w:r w:rsidRPr="00D70F62">
        <w:rPr>
          <w:rFonts w:cs="Times New Roman"/>
          <w:sz w:val="20"/>
          <w:szCs w:val="20"/>
        </w:rPr>
        <w:t xml:space="preserve"> 126-28 (arguing that the corporate regime should apply to </w:t>
      </w:r>
      <w:proofErr w:type="spellStart"/>
      <w:r w:rsidRPr="00D70F62">
        <w:rPr>
          <w:rFonts w:cs="Times New Roman"/>
          <w:sz w:val="20"/>
          <w:szCs w:val="20"/>
        </w:rPr>
        <w:t>limitadas</w:t>
      </w:r>
      <w:proofErr w:type="spellEnd"/>
      <w:r w:rsidRPr="00D70F62">
        <w:rPr>
          <w:rFonts w:cs="Times New Roman"/>
          <w:sz w:val="20"/>
          <w:szCs w:val="20"/>
        </w:rPr>
        <w:t xml:space="preserve">); </w:t>
      </w:r>
      <w:proofErr w:type="spellStart"/>
      <w:r w:rsidRPr="00D70F62">
        <w:rPr>
          <w:smallCaps/>
          <w:sz w:val="20"/>
          <w:szCs w:val="20"/>
        </w:rPr>
        <w:t>Egberto</w:t>
      </w:r>
      <w:proofErr w:type="spellEnd"/>
      <w:r w:rsidRPr="00D70F62">
        <w:rPr>
          <w:smallCaps/>
          <w:sz w:val="20"/>
          <w:szCs w:val="20"/>
        </w:rPr>
        <w:t xml:space="preserve"> </w:t>
      </w:r>
      <w:proofErr w:type="spellStart"/>
      <w:r w:rsidRPr="00D70F62">
        <w:rPr>
          <w:smallCaps/>
          <w:sz w:val="20"/>
          <w:szCs w:val="20"/>
        </w:rPr>
        <w:t>Lacerda</w:t>
      </w:r>
      <w:proofErr w:type="spellEnd"/>
      <w:r w:rsidRPr="00D70F62">
        <w:rPr>
          <w:smallCaps/>
          <w:sz w:val="20"/>
          <w:szCs w:val="20"/>
        </w:rPr>
        <w:t xml:space="preserve"> Teixeira, Das</w:t>
      </w:r>
      <w:r w:rsidRPr="00D70F62">
        <w:rPr>
          <w:sz w:val="20"/>
          <w:szCs w:val="20"/>
        </w:rPr>
        <w:t xml:space="preserve"> </w:t>
      </w:r>
      <w:proofErr w:type="spellStart"/>
      <w:r w:rsidRPr="00D70F62">
        <w:rPr>
          <w:smallCaps/>
          <w:sz w:val="20"/>
          <w:szCs w:val="20"/>
        </w:rPr>
        <w:t>Sociedades</w:t>
      </w:r>
      <w:proofErr w:type="spellEnd"/>
      <w:r w:rsidRPr="00D70F62">
        <w:rPr>
          <w:smallCaps/>
          <w:sz w:val="20"/>
          <w:szCs w:val="20"/>
        </w:rPr>
        <w:t xml:space="preserve"> </w:t>
      </w:r>
      <w:proofErr w:type="spellStart"/>
      <w:r w:rsidRPr="00D70F62">
        <w:rPr>
          <w:smallCaps/>
          <w:sz w:val="20"/>
          <w:szCs w:val="20"/>
        </w:rPr>
        <w:t>por</w:t>
      </w:r>
      <w:proofErr w:type="spellEnd"/>
      <w:r w:rsidRPr="00D70F62">
        <w:rPr>
          <w:smallCaps/>
          <w:sz w:val="20"/>
          <w:szCs w:val="20"/>
        </w:rPr>
        <w:t xml:space="preserve"> Quotas de </w:t>
      </w:r>
      <w:proofErr w:type="spellStart"/>
      <w:r w:rsidRPr="00D70F62">
        <w:rPr>
          <w:smallCaps/>
          <w:sz w:val="20"/>
          <w:szCs w:val="20"/>
        </w:rPr>
        <w:t>Responsabilidade</w:t>
      </w:r>
      <w:proofErr w:type="spellEnd"/>
      <w:r w:rsidRPr="00D70F62">
        <w:rPr>
          <w:smallCaps/>
          <w:sz w:val="20"/>
          <w:szCs w:val="20"/>
        </w:rPr>
        <w:t xml:space="preserve"> </w:t>
      </w:r>
      <w:proofErr w:type="spellStart"/>
      <w:r w:rsidRPr="00D70F62">
        <w:rPr>
          <w:smallCaps/>
          <w:sz w:val="20"/>
          <w:szCs w:val="20"/>
        </w:rPr>
        <w:t>Limitada</w:t>
      </w:r>
      <w:proofErr w:type="spellEnd"/>
      <w:r w:rsidRPr="00D70F62">
        <w:rPr>
          <w:rFonts w:cs="Times New Roman"/>
          <w:sz w:val="20"/>
          <w:szCs w:val="20"/>
        </w:rPr>
        <w:t xml:space="preserve"> 126-28 </w:t>
      </w:r>
      <w:r w:rsidRPr="00D70F62">
        <w:rPr>
          <w:sz w:val="20"/>
          <w:szCs w:val="20"/>
        </w:rPr>
        <w:t xml:space="preserve">(1956) (arguing that partnership or corporate provisions of the Commercial Code should apply depending on the “capitalist” or “personalist” character of the company). </w:t>
      </w:r>
    </w:p>
  </w:footnote>
  <w:footnote w:id="58">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Commercial Code, Art. 335. </w:t>
      </w:r>
    </w:p>
  </w:footnote>
  <w:footnote w:id="5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STF, RE 9.929, Rel. Min. </w:t>
      </w:r>
      <w:proofErr w:type="spellStart"/>
      <w:r w:rsidRPr="00F02A12">
        <w:rPr>
          <w:sz w:val="20"/>
          <w:szCs w:val="20"/>
        </w:rPr>
        <w:t>Flamínio</w:t>
      </w:r>
      <w:proofErr w:type="spellEnd"/>
      <w:r w:rsidRPr="00F02A12">
        <w:rPr>
          <w:sz w:val="20"/>
          <w:szCs w:val="20"/>
        </w:rPr>
        <w:t xml:space="preserve"> de </w:t>
      </w:r>
      <w:proofErr w:type="spellStart"/>
      <w:r w:rsidRPr="00F02A12">
        <w:rPr>
          <w:sz w:val="20"/>
          <w:szCs w:val="20"/>
        </w:rPr>
        <w:t>Rezende</w:t>
      </w:r>
      <w:proofErr w:type="spellEnd"/>
      <w:r w:rsidRPr="00F02A12">
        <w:rPr>
          <w:sz w:val="20"/>
          <w:szCs w:val="20"/>
        </w:rPr>
        <w:t xml:space="preserve">, decided on Jan. 4, 1946, RT 166/843. </w:t>
      </w:r>
    </w:p>
  </w:footnote>
  <w:footnote w:id="60">
    <w:p w:rsidR="000373FF" w:rsidRPr="00F02A12" w:rsidRDefault="000373FF" w:rsidP="00F02A12">
      <w:pPr>
        <w:pStyle w:val="Textodenotaderodap"/>
        <w:jc w:val="both"/>
        <w:rPr>
          <w:rFonts w:cs="Times New Roman"/>
          <w:sz w:val="20"/>
          <w:szCs w:val="20"/>
          <w:lang w:val="pt-BR"/>
        </w:rPr>
      </w:pPr>
      <w:r w:rsidRPr="00F02A12">
        <w:rPr>
          <w:rStyle w:val="Refdenotaderodap"/>
          <w:rFonts w:cs="Times New Roman"/>
          <w:sz w:val="20"/>
          <w:szCs w:val="20"/>
        </w:rPr>
        <w:footnoteRef/>
      </w:r>
      <w:r w:rsidRPr="00F02A12">
        <w:rPr>
          <w:rFonts w:cs="Times New Roman"/>
          <w:sz w:val="20"/>
          <w:szCs w:val="20"/>
        </w:rPr>
        <w:t xml:space="preserve"> For a leading case on this matter, </w:t>
      </w:r>
      <w:r w:rsidRPr="00F02A12">
        <w:rPr>
          <w:rFonts w:cs="Times New Roman"/>
          <w:i/>
          <w:sz w:val="20"/>
          <w:szCs w:val="20"/>
        </w:rPr>
        <w:t>see</w:t>
      </w:r>
      <w:r w:rsidRPr="00F02A12">
        <w:rPr>
          <w:rFonts w:cs="Times New Roman"/>
          <w:sz w:val="20"/>
          <w:szCs w:val="20"/>
        </w:rPr>
        <w:t xml:space="preserve"> STF, </w:t>
      </w:r>
      <w:proofErr w:type="spellStart"/>
      <w:r w:rsidRPr="00F02A12">
        <w:rPr>
          <w:rFonts w:cs="Times New Roman"/>
          <w:sz w:val="20"/>
          <w:szCs w:val="20"/>
        </w:rPr>
        <w:t>Segunda</w:t>
      </w:r>
      <w:proofErr w:type="spellEnd"/>
      <w:r w:rsidRPr="00F02A12">
        <w:rPr>
          <w:rFonts w:cs="Times New Roman"/>
          <w:sz w:val="20"/>
          <w:szCs w:val="20"/>
        </w:rPr>
        <w:t xml:space="preserve"> </w:t>
      </w:r>
      <w:proofErr w:type="spellStart"/>
      <w:r w:rsidRPr="00F02A12">
        <w:rPr>
          <w:rFonts w:cs="Times New Roman"/>
          <w:sz w:val="20"/>
          <w:szCs w:val="20"/>
        </w:rPr>
        <w:t>Turma</w:t>
      </w:r>
      <w:proofErr w:type="spellEnd"/>
      <w:r w:rsidRPr="00F02A12">
        <w:rPr>
          <w:rFonts w:cs="Times New Roman"/>
          <w:sz w:val="20"/>
          <w:szCs w:val="20"/>
        </w:rPr>
        <w:t xml:space="preserve">, RE 89464-SP, Rel. </w:t>
      </w:r>
      <w:r w:rsidRPr="00F02A12">
        <w:rPr>
          <w:rFonts w:cs="Times New Roman"/>
          <w:sz w:val="20"/>
          <w:szCs w:val="20"/>
          <w:lang w:val="pt-BR"/>
        </w:rPr>
        <w:t xml:space="preserve">Min. Cordeiro Guerra, Rel. p/ acórdão Min. Décio Miranda, J. Dec. 12, 1978. </w:t>
      </w:r>
    </w:p>
  </w:footnote>
  <w:footnote w:id="6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For a discussion and critique of this approach, </w:t>
      </w:r>
      <w:r w:rsidRPr="00F02A12">
        <w:rPr>
          <w:i/>
          <w:sz w:val="20"/>
          <w:szCs w:val="20"/>
        </w:rPr>
        <w:t xml:space="preserve">see </w:t>
      </w:r>
      <w:r w:rsidRPr="00F02A12">
        <w:rPr>
          <w:sz w:val="20"/>
          <w:szCs w:val="20"/>
        </w:rPr>
        <w:t xml:space="preserve">the professional masters’ thesis by André Luiz Cardoso Santos, </w:t>
      </w:r>
      <w:proofErr w:type="spellStart"/>
      <w:r w:rsidRPr="00F02A12">
        <w:rPr>
          <w:i/>
          <w:sz w:val="20"/>
          <w:szCs w:val="20"/>
        </w:rPr>
        <w:t>Apuração</w:t>
      </w:r>
      <w:proofErr w:type="spellEnd"/>
      <w:r w:rsidRPr="00F02A12">
        <w:rPr>
          <w:i/>
          <w:sz w:val="20"/>
          <w:szCs w:val="20"/>
        </w:rPr>
        <w:t xml:space="preserve"> de </w:t>
      </w:r>
      <w:proofErr w:type="spellStart"/>
      <w:r w:rsidRPr="00F02A12">
        <w:rPr>
          <w:i/>
          <w:sz w:val="20"/>
          <w:szCs w:val="20"/>
        </w:rPr>
        <w:t>Haveres</w:t>
      </w:r>
      <w:proofErr w:type="spellEnd"/>
      <w:r w:rsidRPr="00F02A12">
        <w:rPr>
          <w:i/>
          <w:sz w:val="20"/>
          <w:szCs w:val="20"/>
        </w:rPr>
        <w:t xml:space="preserve"> </w:t>
      </w:r>
      <w:proofErr w:type="spellStart"/>
      <w:proofErr w:type="gramStart"/>
      <w:r w:rsidRPr="00F02A12">
        <w:rPr>
          <w:i/>
          <w:sz w:val="20"/>
          <w:szCs w:val="20"/>
        </w:rPr>
        <w:t>na</w:t>
      </w:r>
      <w:proofErr w:type="spellEnd"/>
      <w:proofErr w:type="gramEnd"/>
      <w:r w:rsidRPr="00F02A12">
        <w:rPr>
          <w:i/>
          <w:sz w:val="20"/>
          <w:szCs w:val="20"/>
        </w:rPr>
        <w:t xml:space="preserve"> </w:t>
      </w:r>
      <w:proofErr w:type="spellStart"/>
      <w:r w:rsidRPr="00F02A12">
        <w:rPr>
          <w:i/>
          <w:sz w:val="20"/>
          <w:szCs w:val="20"/>
        </w:rPr>
        <w:t>Sociedade</w:t>
      </w:r>
      <w:proofErr w:type="spellEnd"/>
      <w:r w:rsidRPr="00F02A12">
        <w:rPr>
          <w:i/>
          <w:sz w:val="20"/>
          <w:szCs w:val="20"/>
        </w:rPr>
        <w:t xml:space="preserve"> </w:t>
      </w:r>
      <w:proofErr w:type="spellStart"/>
      <w:r w:rsidRPr="00F02A12">
        <w:rPr>
          <w:i/>
          <w:sz w:val="20"/>
          <w:szCs w:val="20"/>
        </w:rPr>
        <w:t>Limitada</w:t>
      </w:r>
      <w:proofErr w:type="spellEnd"/>
      <w:r w:rsidRPr="00F02A12">
        <w:rPr>
          <w:i/>
          <w:sz w:val="20"/>
          <w:szCs w:val="20"/>
        </w:rPr>
        <w:t xml:space="preserve">: Uma </w:t>
      </w:r>
      <w:proofErr w:type="spellStart"/>
      <w:r w:rsidRPr="00F02A12">
        <w:rPr>
          <w:i/>
          <w:sz w:val="20"/>
          <w:szCs w:val="20"/>
        </w:rPr>
        <w:t>Análise</w:t>
      </w:r>
      <w:proofErr w:type="spellEnd"/>
      <w:r w:rsidRPr="00F02A12">
        <w:rPr>
          <w:i/>
          <w:sz w:val="20"/>
          <w:szCs w:val="20"/>
        </w:rPr>
        <w:t xml:space="preserve"> </w:t>
      </w:r>
      <w:proofErr w:type="spellStart"/>
      <w:r w:rsidRPr="00F02A12">
        <w:rPr>
          <w:i/>
          <w:sz w:val="20"/>
          <w:szCs w:val="20"/>
        </w:rPr>
        <w:t>Crítica</w:t>
      </w:r>
      <w:proofErr w:type="spellEnd"/>
      <w:r w:rsidRPr="00F02A12">
        <w:rPr>
          <w:i/>
          <w:sz w:val="20"/>
          <w:szCs w:val="20"/>
        </w:rPr>
        <w:t xml:space="preserve"> da </w:t>
      </w:r>
      <w:proofErr w:type="spellStart"/>
      <w:r w:rsidRPr="00F02A12">
        <w:rPr>
          <w:i/>
          <w:sz w:val="20"/>
          <w:szCs w:val="20"/>
        </w:rPr>
        <w:t>Jurisprudência</w:t>
      </w:r>
      <w:proofErr w:type="spellEnd"/>
      <w:r w:rsidRPr="00F02A12">
        <w:rPr>
          <w:sz w:val="20"/>
          <w:szCs w:val="20"/>
        </w:rPr>
        <w:t xml:space="preserve"> (2015), </w:t>
      </w:r>
      <w:hyperlink r:id="rId3" w:history="1">
        <w:r w:rsidRPr="00F02A12">
          <w:rPr>
            <w:rStyle w:val="Hyperlink"/>
            <w:sz w:val="20"/>
            <w:szCs w:val="20"/>
          </w:rPr>
          <w:t>http://bibliotecadigital.fgv.br/dspace/handle/10438/15148</w:t>
        </w:r>
      </w:hyperlink>
      <w:r w:rsidRPr="00F02A12">
        <w:rPr>
          <w:sz w:val="20"/>
          <w:szCs w:val="20"/>
        </w:rPr>
        <w:t xml:space="preserve"> (noting the courts’ widespread adoption of the method of “simulated total dissolution,” irrespective of contractual provisions to the contrary). </w:t>
      </w:r>
    </w:p>
  </w:footnote>
  <w:footnote w:id="62">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b/>
          <w:sz w:val="20"/>
          <w:szCs w:val="20"/>
        </w:rPr>
        <w:t xml:space="preserve"> </w:t>
      </w:r>
      <w:r w:rsidRPr="00F02A12">
        <w:rPr>
          <w:sz w:val="20"/>
          <w:szCs w:val="20"/>
        </w:rPr>
        <w:t xml:space="preserve">I could not locate any judicial precedents involving a request of partial dissolution of a </w:t>
      </w:r>
      <w:proofErr w:type="gramStart"/>
      <w:r w:rsidRPr="00F02A12">
        <w:rPr>
          <w:sz w:val="20"/>
          <w:szCs w:val="20"/>
        </w:rPr>
        <w:t>publicly-traded</w:t>
      </w:r>
      <w:proofErr w:type="gramEnd"/>
      <w:r w:rsidRPr="00F02A12">
        <w:rPr>
          <w:sz w:val="20"/>
          <w:szCs w:val="20"/>
        </w:rPr>
        <w:t xml:space="preserve"> company. Some commentators, however, have advocated this possibility, by analogizing the listed company whose shares are not liquid to the </w:t>
      </w:r>
      <w:proofErr w:type="spellStart"/>
      <w:r w:rsidRPr="00F02A12">
        <w:rPr>
          <w:i/>
          <w:sz w:val="20"/>
          <w:szCs w:val="20"/>
        </w:rPr>
        <w:t>limitada</w:t>
      </w:r>
      <w:proofErr w:type="spellEnd"/>
      <w:r w:rsidRPr="00F02A12">
        <w:rPr>
          <w:sz w:val="20"/>
          <w:szCs w:val="20"/>
        </w:rPr>
        <w:t xml:space="preserve">.  </w:t>
      </w:r>
      <w:proofErr w:type="spellStart"/>
      <w:r w:rsidRPr="00F02A12">
        <w:rPr>
          <w:i/>
          <w:sz w:val="20"/>
          <w:szCs w:val="20"/>
          <w:lang w:val="pt-BR"/>
        </w:rPr>
        <w:t>See</w:t>
      </w:r>
      <w:proofErr w:type="spellEnd"/>
      <w:r w:rsidRPr="00F02A12">
        <w:rPr>
          <w:sz w:val="20"/>
          <w:szCs w:val="20"/>
          <w:lang w:val="pt-BR"/>
        </w:rPr>
        <w:t xml:space="preserve"> </w:t>
      </w:r>
      <w:r w:rsidRPr="00F02A12">
        <w:rPr>
          <w:smallCaps/>
          <w:sz w:val="20"/>
          <w:szCs w:val="20"/>
          <w:lang w:val="pt-BR"/>
        </w:rPr>
        <w:t xml:space="preserve">Mauro Rodrigues Penteado, Dissolução e Liquidação de Sociedades 190 (1995); </w:t>
      </w:r>
      <w:r w:rsidRPr="00F02A12">
        <w:rPr>
          <w:sz w:val="20"/>
          <w:szCs w:val="20"/>
          <w:lang w:val="pt-BR"/>
        </w:rPr>
        <w:t xml:space="preserve">Paulo Sergio </w:t>
      </w:r>
      <w:proofErr w:type="spellStart"/>
      <w:r w:rsidRPr="00F02A12">
        <w:rPr>
          <w:sz w:val="20"/>
          <w:szCs w:val="20"/>
          <w:lang w:val="pt-BR"/>
        </w:rPr>
        <w:t>Restiffe</w:t>
      </w:r>
      <w:proofErr w:type="spellEnd"/>
      <w:r w:rsidRPr="00F02A12">
        <w:rPr>
          <w:i/>
          <w:sz w:val="20"/>
          <w:szCs w:val="20"/>
          <w:lang w:val="pt-BR"/>
        </w:rPr>
        <w:t xml:space="preserve">, Possibilidade de Dissolução Parcial de Sociedade Anônima </w:t>
      </w:r>
      <w:proofErr w:type="gramStart"/>
      <w:r w:rsidRPr="00F02A12">
        <w:rPr>
          <w:i/>
          <w:sz w:val="20"/>
          <w:szCs w:val="20"/>
          <w:lang w:val="pt-BR"/>
        </w:rPr>
        <w:t>Aberta?</w:t>
      </w:r>
      <w:r w:rsidRPr="00F02A12">
        <w:rPr>
          <w:sz w:val="20"/>
          <w:szCs w:val="20"/>
          <w:lang w:val="pt-BR"/>
        </w:rPr>
        <w:t>,</w:t>
      </w:r>
      <w:proofErr w:type="gramEnd"/>
      <w:r w:rsidRPr="00F02A12">
        <w:rPr>
          <w:sz w:val="20"/>
          <w:szCs w:val="20"/>
          <w:lang w:val="pt-BR"/>
        </w:rPr>
        <w:t xml:space="preserve"> 55 </w:t>
      </w:r>
      <w:r w:rsidRPr="00F02A12">
        <w:rPr>
          <w:smallCaps/>
          <w:sz w:val="20"/>
          <w:szCs w:val="20"/>
          <w:lang w:val="pt-BR"/>
        </w:rPr>
        <w:t>Revista de Direito Bancário e do Mercado de Capitais 237 (ano)</w:t>
      </w:r>
      <w:r w:rsidRPr="00F02A12">
        <w:rPr>
          <w:sz w:val="20"/>
          <w:szCs w:val="20"/>
          <w:lang w:val="pt-BR"/>
        </w:rPr>
        <w:t>.</w:t>
      </w:r>
    </w:p>
  </w:footnote>
  <w:footnote w:id="6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See supra </w:t>
      </w:r>
      <w:r w:rsidRPr="00F02A12">
        <w:rPr>
          <w:sz w:val="20"/>
          <w:szCs w:val="20"/>
        </w:rPr>
        <w:t xml:space="preserve">note </w:t>
      </w:r>
      <w:r w:rsidRPr="00F02A12">
        <w:rPr>
          <w:sz w:val="20"/>
          <w:szCs w:val="20"/>
        </w:rPr>
        <w:fldChar w:fldCharType="begin"/>
      </w:r>
      <w:r w:rsidRPr="00F02A12">
        <w:rPr>
          <w:sz w:val="20"/>
          <w:szCs w:val="20"/>
        </w:rPr>
        <w:instrText xml:space="preserve"> NOTEREF _Ref455578179 \h  \* MERGEFORMAT </w:instrText>
      </w:r>
      <w:r w:rsidRPr="00F02A12">
        <w:rPr>
          <w:sz w:val="20"/>
          <w:szCs w:val="20"/>
        </w:rPr>
      </w:r>
      <w:r w:rsidRPr="00F02A12">
        <w:rPr>
          <w:sz w:val="20"/>
          <w:szCs w:val="20"/>
        </w:rPr>
        <w:fldChar w:fldCharType="separate"/>
      </w:r>
      <w:r>
        <w:rPr>
          <w:sz w:val="20"/>
          <w:szCs w:val="20"/>
        </w:rPr>
        <w:t>45</w:t>
      </w:r>
      <w:r w:rsidRPr="00F02A12">
        <w:rPr>
          <w:sz w:val="20"/>
          <w:szCs w:val="20"/>
        </w:rPr>
        <w:fldChar w:fldCharType="end"/>
      </w:r>
      <w:r w:rsidRPr="00F02A12">
        <w:rPr>
          <w:sz w:val="20"/>
          <w:szCs w:val="20"/>
        </w:rPr>
        <w:t xml:space="preserve"> and accompanying text. </w:t>
      </w:r>
    </w:p>
  </w:footnote>
  <w:footnote w:id="64">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STJ, ERESP 111,294, Rel. Min. Castro </w:t>
      </w:r>
      <w:proofErr w:type="spellStart"/>
      <w:r w:rsidRPr="00F02A12">
        <w:rPr>
          <w:sz w:val="20"/>
          <w:szCs w:val="20"/>
        </w:rPr>
        <w:t>Filho</w:t>
      </w:r>
      <w:proofErr w:type="spellEnd"/>
      <w:r w:rsidRPr="00F02A12">
        <w:rPr>
          <w:sz w:val="20"/>
          <w:szCs w:val="20"/>
        </w:rPr>
        <w:t xml:space="preserve">, Jun. 26, 2006, D.J. Sept. 10, 2007. </w:t>
      </w:r>
    </w:p>
  </w:footnote>
  <w:footnote w:id="65">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proofErr w:type="spellStart"/>
      <w:r w:rsidRPr="00F02A12">
        <w:rPr>
          <w:rFonts w:cs="Times New Roman"/>
          <w:i/>
          <w:sz w:val="20"/>
          <w:szCs w:val="20"/>
        </w:rPr>
        <w:t>Affectio</w:t>
      </w:r>
      <w:proofErr w:type="spellEnd"/>
      <w:r w:rsidRPr="00F02A12">
        <w:rPr>
          <w:rFonts w:cs="Times New Roman"/>
          <w:i/>
          <w:sz w:val="20"/>
          <w:szCs w:val="20"/>
        </w:rPr>
        <w:t xml:space="preserve"> </w:t>
      </w:r>
      <w:proofErr w:type="spellStart"/>
      <w:r w:rsidRPr="00F02A12">
        <w:rPr>
          <w:rFonts w:cs="Times New Roman"/>
          <w:i/>
          <w:sz w:val="20"/>
          <w:szCs w:val="20"/>
        </w:rPr>
        <w:t>societatis</w:t>
      </w:r>
      <w:proofErr w:type="spellEnd"/>
      <w:r w:rsidRPr="00F02A12">
        <w:rPr>
          <w:rFonts w:cs="Times New Roman"/>
          <w:i/>
          <w:sz w:val="20"/>
          <w:szCs w:val="20"/>
        </w:rPr>
        <w:t xml:space="preserve"> </w:t>
      </w:r>
      <w:r w:rsidRPr="00F02A12">
        <w:rPr>
          <w:rFonts w:cs="Times New Roman"/>
          <w:sz w:val="20"/>
          <w:szCs w:val="20"/>
        </w:rPr>
        <w:t xml:space="preserve">is a concept that dates back to Roman law, a legal system that lacked a corporate form. The relevance of the concept of Brazilian law is curious, to say the least, and has been the object of strong, if relatively isolated, scholarly critique. </w:t>
      </w:r>
      <w:proofErr w:type="spellStart"/>
      <w:r w:rsidRPr="00F02A12">
        <w:rPr>
          <w:rFonts w:cs="Times New Roman"/>
          <w:i/>
          <w:sz w:val="20"/>
          <w:szCs w:val="20"/>
          <w:lang w:val="pt-BR"/>
        </w:rPr>
        <w:t>See</w:t>
      </w:r>
      <w:proofErr w:type="spellEnd"/>
      <w:r w:rsidRPr="00F02A12">
        <w:rPr>
          <w:rFonts w:cs="Times New Roman"/>
          <w:i/>
          <w:sz w:val="20"/>
          <w:szCs w:val="20"/>
          <w:lang w:val="pt-BR"/>
        </w:rPr>
        <w:t xml:space="preserve"> </w:t>
      </w:r>
      <w:r w:rsidRPr="00F02A12">
        <w:rPr>
          <w:rFonts w:cs="Times New Roman"/>
          <w:sz w:val="20"/>
          <w:szCs w:val="20"/>
          <w:lang w:val="pt-BR"/>
        </w:rPr>
        <w:t xml:space="preserve">Erasmo </w:t>
      </w:r>
      <w:proofErr w:type="spellStart"/>
      <w:r w:rsidRPr="00F02A12">
        <w:rPr>
          <w:rFonts w:cs="Times New Roman"/>
          <w:sz w:val="20"/>
          <w:szCs w:val="20"/>
          <w:lang w:val="pt-BR"/>
        </w:rPr>
        <w:t>Valladão</w:t>
      </w:r>
      <w:proofErr w:type="spellEnd"/>
      <w:r w:rsidRPr="00F02A12">
        <w:rPr>
          <w:rFonts w:cs="Times New Roman"/>
          <w:sz w:val="20"/>
          <w:szCs w:val="20"/>
          <w:lang w:val="pt-BR"/>
        </w:rPr>
        <w:t xml:space="preserve"> Azevedo e Novaes França, &amp; Marcelo Vieira von </w:t>
      </w:r>
      <w:proofErr w:type="spellStart"/>
      <w:r w:rsidRPr="00F02A12">
        <w:rPr>
          <w:rFonts w:cs="Times New Roman"/>
          <w:sz w:val="20"/>
          <w:szCs w:val="20"/>
          <w:lang w:val="pt-BR"/>
        </w:rPr>
        <w:t>Adamek</w:t>
      </w:r>
      <w:proofErr w:type="spellEnd"/>
      <w:r w:rsidRPr="00F02A12">
        <w:rPr>
          <w:rFonts w:cs="Times New Roman"/>
          <w:sz w:val="20"/>
          <w:szCs w:val="20"/>
          <w:lang w:val="pt-BR"/>
        </w:rPr>
        <w:t xml:space="preserve">, </w:t>
      </w:r>
      <w:proofErr w:type="spellStart"/>
      <w:r w:rsidRPr="00F02A12">
        <w:rPr>
          <w:rFonts w:cs="Times New Roman"/>
          <w:i/>
          <w:sz w:val="20"/>
          <w:szCs w:val="20"/>
          <w:lang w:val="pt-BR"/>
        </w:rPr>
        <w:t>Affectio</w:t>
      </w:r>
      <w:proofErr w:type="spellEnd"/>
      <w:r w:rsidRPr="00F02A12">
        <w:rPr>
          <w:rFonts w:cs="Times New Roman"/>
          <w:i/>
          <w:sz w:val="20"/>
          <w:szCs w:val="20"/>
          <w:lang w:val="pt-BR"/>
        </w:rPr>
        <w:t xml:space="preserve"> </w:t>
      </w:r>
      <w:proofErr w:type="spellStart"/>
      <w:r w:rsidRPr="00F02A12">
        <w:rPr>
          <w:rFonts w:cs="Times New Roman"/>
          <w:i/>
          <w:sz w:val="20"/>
          <w:szCs w:val="20"/>
          <w:lang w:val="pt-BR"/>
        </w:rPr>
        <w:t>societatis</w:t>
      </w:r>
      <w:proofErr w:type="spellEnd"/>
      <w:r w:rsidRPr="00F02A12">
        <w:rPr>
          <w:rFonts w:cs="Times New Roman"/>
          <w:i/>
          <w:sz w:val="20"/>
          <w:szCs w:val="20"/>
          <w:lang w:val="pt-BR"/>
        </w:rPr>
        <w:t xml:space="preserve">: um conceito jurídico superado no </w:t>
      </w:r>
      <w:proofErr w:type="spellStart"/>
      <w:r w:rsidRPr="00F02A12">
        <w:rPr>
          <w:rFonts w:cs="Times New Roman"/>
          <w:i/>
          <w:sz w:val="20"/>
          <w:szCs w:val="20"/>
          <w:lang w:val="pt-BR"/>
        </w:rPr>
        <w:t>modern</w:t>
      </w:r>
      <w:proofErr w:type="spellEnd"/>
      <w:r w:rsidRPr="00F02A12">
        <w:rPr>
          <w:rFonts w:cs="Times New Roman"/>
          <w:i/>
          <w:sz w:val="20"/>
          <w:szCs w:val="20"/>
          <w:lang w:val="pt-BR"/>
        </w:rPr>
        <w:t xml:space="preserve"> direito societário pelo conceito de fim social</w:t>
      </w:r>
      <w:r w:rsidRPr="00F02A12">
        <w:rPr>
          <w:rFonts w:cs="Times New Roman"/>
          <w:sz w:val="20"/>
          <w:szCs w:val="20"/>
          <w:lang w:val="pt-BR"/>
        </w:rPr>
        <w:t xml:space="preserve">, </w:t>
      </w:r>
      <w:r w:rsidRPr="00F02A12">
        <w:rPr>
          <w:rFonts w:cs="Times New Roman"/>
          <w:i/>
          <w:sz w:val="20"/>
          <w:szCs w:val="20"/>
          <w:lang w:val="pt-BR"/>
        </w:rPr>
        <w:t xml:space="preserve">in </w:t>
      </w:r>
      <w:r w:rsidRPr="00F02A12">
        <w:rPr>
          <w:rFonts w:cs="Times New Roman"/>
          <w:smallCaps/>
          <w:sz w:val="20"/>
          <w:szCs w:val="20"/>
          <w:lang w:val="pt-BR"/>
        </w:rPr>
        <w:t>Direito Societário Contemporâneo</w:t>
      </w:r>
      <w:r w:rsidRPr="00F02A12">
        <w:rPr>
          <w:rFonts w:cs="Times New Roman"/>
          <w:sz w:val="20"/>
          <w:szCs w:val="20"/>
          <w:lang w:val="pt-BR"/>
        </w:rPr>
        <w:t xml:space="preserve"> I 140 (2009) (</w:t>
      </w:r>
      <w:proofErr w:type="spellStart"/>
      <w:r w:rsidRPr="00F02A12">
        <w:rPr>
          <w:rFonts w:cs="Times New Roman"/>
          <w:sz w:val="20"/>
          <w:szCs w:val="20"/>
          <w:lang w:val="pt-BR"/>
        </w:rPr>
        <w:t>arguing</w:t>
      </w:r>
      <w:proofErr w:type="spellEnd"/>
      <w:r w:rsidRPr="00F02A12">
        <w:rPr>
          <w:rFonts w:cs="Times New Roman"/>
          <w:sz w:val="20"/>
          <w:szCs w:val="20"/>
          <w:lang w:val="pt-BR"/>
        </w:rPr>
        <w:t xml:space="preserve"> </w:t>
      </w:r>
      <w:proofErr w:type="spellStart"/>
      <w:r w:rsidRPr="00F02A12">
        <w:rPr>
          <w:rFonts w:cs="Times New Roman"/>
          <w:sz w:val="20"/>
          <w:szCs w:val="20"/>
          <w:lang w:val="pt-BR"/>
        </w:rPr>
        <w:t>that</w:t>
      </w:r>
      <w:proofErr w:type="spellEnd"/>
      <w:r w:rsidRPr="00F02A12">
        <w:rPr>
          <w:rFonts w:cs="Times New Roman"/>
          <w:sz w:val="20"/>
          <w:szCs w:val="20"/>
          <w:lang w:val="pt-BR"/>
        </w:rPr>
        <w:t xml:space="preserve"> </w:t>
      </w:r>
      <w:proofErr w:type="spellStart"/>
      <w:r w:rsidRPr="00F02A12">
        <w:rPr>
          <w:rFonts w:cs="Times New Roman"/>
          <w:i/>
          <w:sz w:val="20"/>
          <w:szCs w:val="20"/>
          <w:lang w:val="pt-BR"/>
        </w:rPr>
        <w:t>affectio</w:t>
      </w:r>
      <w:proofErr w:type="spellEnd"/>
      <w:r w:rsidRPr="00F02A12">
        <w:rPr>
          <w:rFonts w:cs="Times New Roman"/>
          <w:i/>
          <w:sz w:val="20"/>
          <w:szCs w:val="20"/>
          <w:lang w:val="pt-BR"/>
        </w:rPr>
        <w:t xml:space="preserve"> </w:t>
      </w:r>
      <w:proofErr w:type="spellStart"/>
      <w:r w:rsidRPr="00F02A12">
        <w:rPr>
          <w:rFonts w:cs="Times New Roman"/>
          <w:i/>
          <w:sz w:val="20"/>
          <w:szCs w:val="20"/>
          <w:lang w:val="pt-BR"/>
        </w:rPr>
        <w:t>societatis</w:t>
      </w:r>
      <w:proofErr w:type="spellEnd"/>
      <w:r w:rsidRPr="00F02A12">
        <w:rPr>
          <w:rFonts w:cs="Times New Roman"/>
          <w:i/>
          <w:sz w:val="20"/>
          <w:szCs w:val="20"/>
          <w:lang w:val="pt-BR"/>
        </w:rPr>
        <w:t xml:space="preserve"> </w:t>
      </w:r>
      <w:proofErr w:type="spellStart"/>
      <w:r w:rsidRPr="00F02A12">
        <w:rPr>
          <w:rFonts w:cs="Times New Roman"/>
          <w:sz w:val="20"/>
          <w:szCs w:val="20"/>
          <w:lang w:val="pt-BR"/>
        </w:rPr>
        <w:t>is</w:t>
      </w:r>
      <w:proofErr w:type="spellEnd"/>
      <w:r w:rsidRPr="00F02A12">
        <w:rPr>
          <w:rFonts w:cs="Times New Roman"/>
          <w:sz w:val="20"/>
          <w:szCs w:val="20"/>
          <w:lang w:val="pt-BR"/>
        </w:rPr>
        <w:t xml:space="preserve"> “</w:t>
      </w:r>
      <w:proofErr w:type="spellStart"/>
      <w:r w:rsidRPr="00F02A12">
        <w:rPr>
          <w:rFonts w:cs="Times New Roman"/>
          <w:sz w:val="20"/>
          <w:szCs w:val="20"/>
          <w:lang w:val="pt-BR"/>
        </w:rPr>
        <w:t>an</w:t>
      </w:r>
      <w:proofErr w:type="spellEnd"/>
      <w:r w:rsidRPr="00F02A12">
        <w:rPr>
          <w:rFonts w:cs="Times New Roman"/>
          <w:sz w:val="20"/>
          <w:szCs w:val="20"/>
          <w:lang w:val="pt-BR"/>
        </w:rPr>
        <w:t xml:space="preserve"> </w:t>
      </w:r>
      <w:proofErr w:type="spellStart"/>
      <w:r w:rsidRPr="00F02A12">
        <w:rPr>
          <w:rFonts w:cs="Times New Roman"/>
          <w:sz w:val="20"/>
          <w:szCs w:val="20"/>
          <w:lang w:val="pt-BR"/>
        </w:rPr>
        <w:t>equivocal</w:t>
      </w:r>
      <w:proofErr w:type="spellEnd"/>
      <w:r w:rsidRPr="00F02A12">
        <w:rPr>
          <w:rFonts w:cs="Times New Roman"/>
          <w:sz w:val="20"/>
          <w:szCs w:val="20"/>
          <w:lang w:val="pt-BR"/>
        </w:rPr>
        <w:t xml:space="preserve"> </w:t>
      </w:r>
      <w:proofErr w:type="spellStart"/>
      <w:r w:rsidRPr="00F02A12">
        <w:rPr>
          <w:rFonts w:cs="Times New Roman"/>
          <w:sz w:val="20"/>
          <w:szCs w:val="20"/>
          <w:lang w:val="pt-BR"/>
        </w:rPr>
        <w:t>concept</w:t>
      </w:r>
      <w:proofErr w:type="spellEnd"/>
      <w:r w:rsidRPr="00F02A12">
        <w:rPr>
          <w:rFonts w:cs="Times New Roman"/>
          <w:sz w:val="20"/>
          <w:szCs w:val="20"/>
          <w:lang w:val="pt-BR"/>
        </w:rPr>
        <w:t xml:space="preserve"> </w:t>
      </w:r>
      <w:proofErr w:type="spellStart"/>
      <w:r w:rsidRPr="00F02A12">
        <w:rPr>
          <w:rFonts w:cs="Times New Roman"/>
          <w:sz w:val="20"/>
          <w:szCs w:val="20"/>
          <w:lang w:val="pt-BR"/>
        </w:rPr>
        <w:t>whose</w:t>
      </w:r>
      <w:proofErr w:type="spellEnd"/>
      <w:r w:rsidRPr="00F02A12">
        <w:rPr>
          <w:rFonts w:cs="Times New Roman"/>
          <w:sz w:val="20"/>
          <w:szCs w:val="20"/>
          <w:lang w:val="pt-BR"/>
        </w:rPr>
        <w:t xml:space="preserve"> </w:t>
      </w:r>
      <w:proofErr w:type="spellStart"/>
      <w:r w:rsidRPr="00F02A12">
        <w:rPr>
          <w:rFonts w:cs="Times New Roman"/>
          <w:sz w:val="20"/>
          <w:szCs w:val="20"/>
          <w:lang w:val="pt-BR"/>
        </w:rPr>
        <w:t>obscurity</w:t>
      </w:r>
      <w:proofErr w:type="spellEnd"/>
      <w:r w:rsidRPr="00F02A12">
        <w:rPr>
          <w:rFonts w:cs="Times New Roman"/>
          <w:sz w:val="20"/>
          <w:szCs w:val="20"/>
          <w:lang w:val="pt-BR"/>
        </w:rPr>
        <w:t xml:space="preserve"> </w:t>
      </w:r>
      <w:proofErr w:type="spellStart"/>
      <w:r w:rsidRPr="00F02A12">
        <w:rPr>
          <w:rFonts w:cs="Times New Roman"/>
          <w:sz w:val="20"/>
          <w:szCs w:val="20"/>
          <w:lang w:val="pt-BR"/>
        </w:rPr>
        <w:t>is</w:t>
      </w:r>
      <w:proofErr w:type="spellEnd"/>
      <w:r w:rsidRPr="00F02A12">
        <w:rPr>
          <w:rFonts w:cs="Times New Roman"/>
          <w:sz w:val="20"/>
          <w:szCs w:val="20"/>
          <w:lang w:val="pt-BR"/>
        </w:rPr>
        <w:t xml:space="preserve"> </w:t>
      </w:r>
      <w:proofErr w:type="spellStart"/>
      <w:r w:rsidRPr="00F02A12">
        <w:rPr>
          <w:rFonts w:cs="Times New Roman"/>
          <w:sz w:val="20"/>
          <w:szCs w:val="20"/>
          <w:lang w:val="pt-BR"/>
        </w:rPr>
        <w:t>strengthened</w:t>
      </w:r>
      <w:proofErr w:type="spellEnd"/>
      <w:r w:rsidRPr="00F02A12">
        <w:rPr>
          <w:rFonts w:cs="Times New Roman"/>
          <w:sz w:val="20"/>
          <w:szCs w:val="20"/>
          <w:lang w:val="pt-BR"/>
        </w:rPr>
        <w:t xml:space="preserve"> </w:t>
      </w:r>
      <w:proofErr w:type="spellStart"/>
      <w:r w:rsidRPr="00F02A12">
        <w:rPr>
          <w:rFonts w:cs="Times New Roman"/>
          <w:sz w:val="20"/>
          <w:szCs w:val="20"/>
          <w:lang w:val="pt-BR"/>
        </w:rPr>
        <w:t>by</w:t>
      </w:r>
      <w:proofErr w:type="spellEnd"/>
      <w:r w:rsidRPr="00F02A12">
        <w:rPr>
          <w:rFonts w:cs="Times New Roman"/>
          <w:sz w:val="20"/>
          <w:szCs w:val="20"/>
          <w:lang w:val="pt-BR"/>
        </w:rPr>
        <w:t xml:space="preserve"> </w:t>
      </w:r>
      <w:proofErr w:type="spellStart"/>
      <w:r w:rsidRPr="00F02A12">
        <w:rPr>
          <w:rFonts w:cs="Times New Roman"/>
          <w:sz w:val="20"/>
          <w:szCs w:val="20"/>
          <w:lang w:val="pt-BR"/>
        </w:rPr>
        <w:t>the</w:t>
      </w:r>
      <w:proofErr w:type="spellEnd"/>
      <w:r w:rsidRPr="00F02A12">
        <w:rPr>
          <w:rFonts w:cs="Times New Roman"/>
          <w:sz w:val="20"/>
          <w:szCs w:val="20"/>
          <w:lang w:val="pt-BR"/>
        </w:rPr>
        <w:t xml:space="preserve"> use </w:t>
      </w:r>
      <w:proofErr w:type="spellStart"/>
      <w:r w:rsidRPr="00F02A12">
        <w:rPr>
          <w:rFonts w:cs="Times New Roman"/>
          <w:sz w:val="20"/>
          <w:szCs w:val="20"/>
          <w:lang w:val="pt-BR"/>
        </w:rPr>
        <w:t>of</w:t>
      </w:r>
      <w:proofErr w:type="spellEnd"/>
      <w:r w:rsidRPr="00F02A12">
        <w:rPr>
          <w:rFonts w:cs="Times New Roman"/>
          <w:sz w:val="20"/>
          <w:szCs w:val="20"/>
          <w:lang w:val="pt-BR"/>
        </w:rPr>
        <w:t xml:space="preserve"> </w:t>
      </w:r>
      <w:proofErr w:type="spellStart"/>
      <w:r w:rsidRPr="00F02A12">
        <w:rPr>
          <w:rFonts w:cs="Times New Roman"/>
          <w:sz w:val="20"/>
          <w:szCs w:val="20"/>
          <w:lang w:val="pt-BR"/>
        </w:rPr>
        <w:t>the</w:t>
      </w:r>
      <w:proofErr w:type="spellEnd"/>
      <w:r w:rsidRPr="00F02A12">
        <w:rPr>
          <w:rFonts w:cs="Times New Roman"/>
          <w:sz w:val="20"/>
          <w:szCs w:val="20"/>
          <w:lang w:val="pt-BR"/>
        </w:rPr>
        <w:t xml:space="preserve"> </w:t>
      </w:r>
      <w:proofErr w:type="spellStart"/>
      <w:r w:rsidRPr="00F02A12">
        <w:rPr>
          <w:rFonts w:cs="Times New Roman"/>
          <w:sz w:val="20"/>
          <w:szCs w:val="20"/>
          <w:lang w:val="pt-BR"/>
        </w:rPr>
        <w:t>Latin</w:t>
      </w:r>
      <w:proofErr w:type="spellEnd"/>
      <w:r w:rsidRPr="00F02A12">
        <w:rPr>
          <w:rFonts w:cs="Times New Roman"/>
          <w:sz w:val="20"/>
          <w:szCs w:val="20"/>
          <w:lang w:val="pt-BR"/>
        </w:rPr>
        <w:t xml:space="preserve"> </w:t>
      </w:r>
      <w:proofErr w:type="spellStart"/>
      <w:r w:rsidRPr="00F02A12">
        <w:rPr>
          <w:rFonts w:cs="Times New Roman"/>
          <w:sz w:val="20"/>
          <w:szCs w:val="20"/>
          <w:lang w:val="pt-BR"/>
        </w:rPr>
        <w:t>expression</w:t>
      </w:r>
      <w:proofErr w:type="spellEnd"/>
      <w:r w:rsidRPr="00F02A12">
        <w:rPr>
          <w:rFonts w:cs="Times New Roman"/>
          <w:sz w:val="20"/>
          <w:szCs w:val="20"/>
          <w:lang w:val="pt-BR"/>
        </w:rPr>
        <w:t xml:space="preserve">”). </w:t>
      </w:r>
      <w:r w:rsidRPr="00F02A12">
        <w:rPr>
          <w:rFonts w:cs="Times New Roman"/>
          <w:sz w:val="20"/>
          <w:szCs w:val="20"/>
        </w:rPr>
        <w:t xml:space="preserve">The authors observe that Brazil’s unique devotion to the concept of </w:t>
      </w:r>
      <w:proofErr w:type="spellStart"/>
      <w:r w:rsidRPr="00F02A12">
        <w:rPr>
          <w:rFonts w:cs="Times New Roman"/>
          <w:i/>
          <w:sz w:val="20"/>
          <w:szCs w:val="20"/>
        </w:rPr>
        <w:t>affectio</w:t>
      </w:r>
      <w:proofErr w:type="spellEnd"/>
      <w:r w:rsidRPr="00F02A12">
        <w:rPr>
          <w:rFonts w:cs="Times New Roman"/>
          <w:i/>
          <w:sz w:val="20"/>
          <w:szCs w:val="20"/>
        </w:rPr>
        <w:t xml:space="preserve"> </w:t>
      </w:r>
      <w:proofErr w:type="spellStart"/>
      <w:r w:rsidRPr="00F02A12">
        <w:rPr>
          <w:rFonts w:cs="Times New Roman"/>
          <w:i/>
          <w:sz w:val="20"/>
          <w:szCs w:val="20"/>
        </w:rPr>
        <w:t>societatis</w:t>
      </w:r>
      <w:proofErr w:type="spellEnd"/>
      <w:r w:rsidRPr="00F02A12">
        <w:rPr>
          <w:rFonts w:cs="Times New Roman"/>
          <w:i/>
          <w:sz w:val="20"/>
          <w:szCs w:val="20"/>
        </w:rPr>
        <w:t xml:space="preserve"> </w:t>
      </w:r>
      <w:r w:rsidRPr="00F02A12">
        <w:rPr>
          <w:rFonts w:cs="Times New Roman"/>
          <w:sz w:val="20"/>
          <w:szCs w:val="20"/>
        </w:rPr>
        <w:t xml:space="preserve">is exceptional among developed legal systems and attributable to “the lack of a healthy and desirable exercise of critique and reflection about the legal rules in force”. </w:t>
      </w:r>
      <w:r w:rsidRPr="00F02A12">
        <w:rPr>
          <w:rFonts w:cs="Times New Roman"/>
          <w:i/>
          <w:sz w:val="20"/>
          <w:szCs w:val="20"/>
        </w:rPr>
        <w:t xml:space="preserve">Id. </w:t>
      </w:r>
      <w:r w:rsidRPr="00F02A12">
        <w:rPr>
          <w:rFonts w:cs="Times New Roman"/>
          <w:sz w:val="20"/>
          <w:szCs w:val="20"/>
        </w:rPr>
        <w:t>at 132.</w:t>
      </w:r>
    </w:p>
  </w:footnote>
  <w:footnote w:id="6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STJ,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_Ref452646881 \h  \* MERGEFORMAT </w:instrText>
      </w:r>
      <w:r w:rsidRPr="00F02A12">
        <w:rPr>
          <w:sz w:val="20"/>
          <w:szCs w:val="20"/>
        </w:rPr>
      </w:r>
      <w:r w:rsidRPr="00F02A12">
        <w:rPr>
          <w:sz w:val="20"/>
          <w:szCs w:val="20"/>
        </w:rPr>
        <w:fldChar w:fldCharType="separate"/>
      </w:r>
      <w:r>
        <w:rPr>
          <w:sz w:val="20"/>
          <w:szCs w:val="20"/>
        </w:rPr>
        <w:t>64</w:t>
      </w:r>
      <w:r w:rsidRPr="00F02A12">
        <w:rPr>
          <w:sz w:val="20"/>
          <w:szCs w:val="20"/>
        </w:rPr>
        <w:fldChar w:fldCharType="end"/>
      </w:r>
      <w:r w:rsidRPr="00F02A12">
        <w:rPr>
          <w:sz w:val="20"/>
          <w:szCs w:val="20"/>
        </w:rPr>
        <w:t>.</w:t>
      </w:r>
    </w:p>
  </w:footnote>
  <w:footnote w:id="6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Id.</w:t>
      </w:r>
    </w:p>
  </w:footnote>
  <w:footnote w:id="6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Id.</w:t>
      </w:r>
    </w:p>
  </w:footnote>
  <w:footnote w:id="6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Id.</w:t>
      </w:r>
    </w:p>
  </w:footnote>
  <w:footnote w:id="70">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rPr>
        <w:t xml:space="preserve"> STJ, ERESP 419,174, Rel. </w:t>
      </w:r>
      <w:r w:rsidRPr="00F02A12">
        <w:rPr>
          <w:sz w:val="20"/>
          <w:szCs w:val="20"/>
          <w:lang w:val="pt-BR"/>
        </w:rPr>
        <w:t xml:space="preserve">Min. Aldir Passarinho, May 28, 2008, D.J. </w:t>
      </w:r>
      <w:proofErr w:type="spellStart"/>
      <w:r w:rsidRPr="00F02A12">
        <w:rPr>
          <w:sz w:val="20"/>
          <w:szCs w:val="20"/>
          <w:lang w:val="pt-BR"/>
        </w:rPr>
        <w:t>Aug</w:t>
      </w:r>
      <w:proofErr w:type="spellEnd"/>
      <w:r w:rsidRPr="00F02A12">
        <w:rPr>
          <w:sz w:val="20"/>
          <w:szCs w:val="20"/>
          <w:lang w:val="pt-BR"/>
        </w:rPr>
        <w:t xml:space="preserve">. 4, 2008. </w:t>
      </w:r>
    </w:p>
  </w:footnote>
  <w:footnote w:id="71">
    <w:p w:rsidR="000373FF" w:rsidRPr="00F02A12" w:rsidRDefault="000373FF" w:rsidP="00F02A12">
      <w:pPr>
        <w:pStyle w:val="Textodenotaderodap"/>
        <w:jc w:val="both"/>
        <w:rPr>
          <w:i/>
          <w:sz w:val="20"/>
          <w:szCs w:val="20"/>
          <w:lang w:val="pt-BR"/>
        </w:rPr>
      </w:pPr>
      <w:r w:rsidRPr="00F02A12">
        <w:rPr>
          <w:rStyle w:val="Refdenotaderodap"/>
          <w:sz w:val="20"/>
          <w:szCs w:val="20"/>
        </w:rPr>
        <w:footnoteRef/>
      </w:r>
      <w:r w:rsidRPr="00F02A12">
        <w:rPr>
          <w:sz w:val="20"/>
          <w:szCs w:val="20"/>
          <w:lang w:val="pt-BR"/>
        </w:rPr>
        <w:t xml:space="preserve"> </w:t>
      </w:r>
      <w:r w:rsidRPr="00F02A12">
        <w:rPr>
          <w:i/>
          <w:sz w:val="20"/>
          <w:szCs w:val="20"/>
          <w:lang w:val="pt-BR"/>
        </w:rPr>
        <w:t>Id.</w:t>
      </w:r>
    </w:p>
  </w:footnote>
  <w:footnote w:id="72">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lang w:val="pt-BR"/>
        </w:rPr>
        <w:t xml:space="preserve"> TJSP, Apelação 003.299-4/0, Rel. Des. </w:t>
      </w:r>
      <w:r w:rsidRPr="00F02A12">
        <w:rPr>
          <w:sz w:val="20"/>
          <w:szCs w:val="20"/>
        </w:rPr>
        <w:t xml:space="preserve">Mohamed </w:t>
      </w:r>
      <w:proofErr w:type="spellStart"/>
      <w:r w:rsidRPr="00F02A12">
        <w:rPr>
          <w:sz w:val="20"/>
          <w:szCs w:val="20"/>
        </w:rPr>
        <w:t>Amaro</w:t>
      </w:r>
      <w:proofErr w:type="spellEnd"/>
      <w:r w:rsidRPr="00F02A12">
        <w:rPr>
          <w:sz w:val="20"/>
          <w:szCs w:val="20"/>
        </w:rPr>
        <w:t xml:space="preserve">, Feb. 19, 1998. </w:t>
      </w:r>
    </w:p>
  </w:footnote>
  <w:footnote w:id="7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Law 13,105 of Mar. 16, 2015, Art. 599, § </w:t>
      </w:r>
      <w:proofErr w:type="gramStart"/>
      <w:r w:rsidRPr="00F02A12">
        <w:rPr>
          <w:sz w:val="20"/>
          <w:szCs w:val="20"/>
        </w:rPr>
        <w:t>2</w:t>
      </w:r>
      <w:proofErr w:type="gramEnd"/>
      <w:r w:rsidRPr="00F02A12">
        <w:rPr>
          <w:sz w:val="20"/>
          <w:szCs w:val="20"/>
        </w:rPr>
        <w:t xml:space="preserve">º.   </w:t>
      </w:r>
    </w:p>
  </w:footnote>
  <w:footnote w:id="74">
    <w:p w:rsidR="000373FF" w:rsidRPr="000373FF" w:rsidRDefault="000373FF" w:rsidP="00736AC0">
      <w:pPr>
        <w:pStyle w:val="Textodenotaderodap"/>
        <w:jc w:val="both"/>
        <w:rPr>
          <w:sz w:val="20"/>
          <w:szCs w:val="20"/>
          <w:lang w:val="fr-FR"/>
        </w:rPr>
      </w:pPr>
      <w:r w:rsidRPr="00FB035B">
        <w:rPr>
          <w:rStyle w:val="Refdenotaderodap"/>
          <w:sz w:val="20"/>
          <w:szCs w:val="20"/>
        </w:rPr>
        <w:footnoteRef/>
      </w:r>
      <w:r w:rsidRPr="000373FF">
        <w:rPr>
          <w:sz w:val="20"/>
          <w:szCs w:val="20"/>
          <w:lang w:val="fr-FR"/>
        </w:rPr>
        <w:t xml:space="preserve"> </w:t>
      </w:r>
      <w:proofErr w:type="spellStart"/>
      <w:r w:rsidRPr="000373FF">
        <w:rPr>
          <w:sz w:val="20"/>
          <w:szCs w:val="20"/>
          <w:lang w:val="fr-FR"/>
        </w:rPr>
        <w:t>Projeto</w:t>
      </w:r>
      <w:proofErr w:type="spellEnd"/>
      <w:r w:rsidRPr="000373FF">
        <w:rPr>
          <w:sz w:val="20"/>
          <w:szCs w:val="20"/>
          <w:lang w:val="fr-FR"/>
        </w:rPr>
        <w:t xml:space="preserve"> de Lei 4302 of 2012. For comparative </w:t>
      </w:r>
      <w:proofErr w:type="spellStart"/>
      <w:r w:rsidRPr="000373FF">
        <w:rPr>
          <w:sz w:val="20"/>
          <w:szCs w:val="20"/>
          <w:lang w:val="fr-FR"/>
        </w:rPr>
        <w:t>experience</w:t>
      </w:r>
      <w:proofErr w:type="spellEnd"/>
      <w:r w:rsidRPr="000373FF">
        <w:rPr>
          <w:sz w:val="20"/>
          <w:szCs w:val="20"/>
          <w:lang w:val="fr-FR"/>
        </w:rPr>
        <w:t xml:space="preserve"> </w:t>
      </w:r>
      <w:proofErr w:type="spellStart"/>
      <w:r w:rsidRPr="000373FF">
        <w:rPr>
          <w:sz w:val="20"/>
          <w:szCs w:val="20"/>
          <w:lang w:val="fr-FR"/>
        </w:rPr>
        <w:t>with</w:t>
      </w:r>
      <w:proofErr w:type="spellEnd"/>
      <w:r w:rsidRPr="000373FF">
        <w:rPr>
          <w:sz w:val="20"/>
          <w:szCs w:val="20"/>
          <w:lang w:val="fr-FR"/>
        </w:rPr>
        <w:t xml:space="preserve"> </w:t>
      </w:r>
      <w:proofErr w:type="spellStart"/>
      <w:r w:rsidRPr="000373FF">
        <w:rPr>
          <w:sz w:val="20"/>
          <w:szCs w:val="20"/>
          <w:lang w:val="fr-FR"/>
        </w:rPr>
        <w:t>simplified</w:t>
      </w:r>
      <w:proofErr w:type="spellEnd"/>
      <w:r w:rsidRPr="000373FF">
        <w:rPr>
          <w:sz w:val="20"/>
          <w:szCs w:val="20"/>
          <w:lang w:val="fr-FR"/>
        </w:rPr>
        <w:t xml:space="preserve"> corporation </w:t>
      </w:r>
      <w:proofErr w:type="spellStart"/>
      <w:r w:rsidRPr="000373FF">
        <w:rPr>
          <w:sz w:val="20"/>
          <w:szCs w:val="20"/>
          <w:lang w:val="fr-FR"/>
        </w:rPr>
        <w:t>statutes</w:t>
      </w:r>
      <w:proofErr w:type="spellEnd"/>
      <w:r w:rsidRPr="000373FF">
        <w:rPr>
          <w:sz w:val="20"/>
          <w:szCs w:val="20"/>
          <w:lang w:val="fr-FR"/>
        </w:rPr>
        <w:t xml:space="preserve">, </w:t>
      </w:r>
      <w:proofErr w:type="spellStart"/>
      <w:r w:rsidRPr="000373FF">
        <w:rPr>
          <w:i/>
          <w:sz w:val="20"/>
          <w:szCs w:val="20"/>
          <w:lang w:val="fr-FR"/>
        </w:rPr>
        <w:t>see</w:t>
      </w:r>
      <w:proofErr w:type="spellEnd"/>
      <w:r w:rsidRPr="000373FF">
        <w:rPr>
          <w:i/>
          <w:sz w:val="20"/>
          <w:szCs w:val="20"/>
          <w:lang w:val="fr-FR"/>
        </w:rPr>
        <w:t xml:space="preserve"> </w:t>
      </w:r>
      <w:r w:rsidRPr="000373FF">
        <w:rPr>
          <w:rFonts w:cs="Arial"/>
          <w:bCs/>
          <w:sz w:val="20"/>
          <w:szCs w:val="20"/>
          <w:lang w:val="fr-FR"/>
        </w:rPr>
        <w:t xml:space="preserve">Loi no. 94-1 du 3 janvier 1994 instituant la société par </w:t>
      </w:r>
      <w:proofErr w:type="gramStart"/>
      <w:r w:rsidRPr="000373FF">
        <w:rPr>
          <w:rFonts w:cs="Arial"/>
          <w:bCs/>
          <w:sz w:val="20"/>
          <w:szCs w:val="20"/>
          <w:lang w:val="fr-FR"/>
        </w:rPr>
        <w:t>actions;</w:t>
      </w:r>
      <w:proofErr w:type="gramEnd"/>
      <w:r w:rsidRPr="000373FF">
        <w:rPr>
          <w:rFonts w:cs="Arial"/>
          <w:bCs/>
          <w:sz w:val="20"/>
          <w:szCs w:val="20"/>
          <w:lang w:val="fr-FR"/>
        </w:rPr>
        <w:t xml:space="preserve"> L. 1258, </w:t>
      </w:r>
      <w:proofErr w:type="spellStart"/>
      <w:r w:rsidRPr="000373FF">
        <w:rPr>
          <w:rFonts w:cs="Arial"/>
          <w:bCs/>
          <w:sz w:val="20"/>
          <w:szCs w:val="20"/>
          <w:lang w:val="fr-FR"/>
        </w:rPr>
        <w:t>deciembre</w:t>
      </w:r>
      <w:proofErr w:type="spellEnd"/>
      <w:r w:rsidRPr="000373FF">
        <w:rPr>
          <w:rFonts w:cs="Arial"/>
          <w:bCs/>
          <w:sz w:val="20"/>
          <w:szCs w:val="20"/>
          <w:lang w:val="fr-FR"/>
        </w:rPr>
        <w:t xml:space="preserve"> 5, 2008 (</w:t>
      </w:r>
      <w:proofErr w:type="spellStart"/>
      <w:r w:rsidRPr="000373FF">
        <w:rPr>
          <w:rFonts w:cs="Arial"/>
          <w:bCs/>
          <w:sz w:val="20"/>
          <w:szCs w:val="20"/>
          <w:lang w:val="fr-FR"/>
        </w:rPr>
        <w:t>Colombia</w:t>
      </w:r>
      <w:proofErr w:type="spellEnd"/>
      <w:r w:rsidRPr="000373FF">
        <w:rPr>
          <w:rFonts w:cs="Arial"/>
          <w:bCs/>
          <w:sz w:val="20"/>
          <w:szCs w:val="20"/>
          <w:lang w:val="fr-FR"/>
        </w:rPr>
        <w:t>).</w:t>
      </w:r>
    </w:p>
  </w:footnote>
  <w:footnote w:id="75">
    <w:p w:rsidR="000373FF" w:rsidRPr="00FB035B" w:rsidRDefault="000373FF" w:rsidP="00736AC0">
      <w:pPr>
        <w:pStyle w:val="Textodenotaderodap"/>
        <w:jc w:val="both"/>
        <w:rPr>
          <w:sz w:val="20"/>
          <w:szCs w:val="20"/>
          <w:lang w:val="pt-BR"/>
        </w:rPr>
      </w:pPr>
      <w:r w:rsidRPr="00FB035B">
        <w:rPr>
          <w:rStyle w:val="Refdenotaderodap"/>
          <w:sz w:val="20"/>
          <w:szCs w:val="20"/>
        </w:rPr>
        <w:footnoteRef/>
      </w:r>
      <w:r w:rsidRPr="00FB035B">
        <w:rPr>
          <w:sz w:val="20"/>
          <w:szCs w:val="20"/>
        </w:rPr>
        <w:t xml:space="preserve"> </w:t>
      </w:r>
      <w:r w:rsidRPr="00FB035B">
        <w:rPr>
          <w:i/>
          <w:sz w:val="20"/>
          <w:szCs w:val="20"/>
        </w:rPr>
        <w:t>See</w:t>
      </w:r>
      <w:r w:rsidRPr="00FB035B">
        <w:rPr>
          <w:sz w:val="20"/>
          <w:szCs w:val="20"/>
        </w:rPr>
        <w:t xml:space="preserve">, </w:t>
      </w:r>
      <w:r w:rsidRPr="00FB035B">
        <w:rPr>
          <w:i/>
          <w:sz w:val="20"/>
          <w:szCs w:val="20"/>
        </w:rPr>
        <w:t>e.g.</w:t>
      </w:r>
      <w:r w:rsidRPr="00FB035B">
        <w:rPr>
          <w:sz w:val="20"/>
          <w:szCs w:val="20"/>
        </w:rPr>
        <w:t xml:space="preserve">, STJ, RESP 917,531-RS, Rel. </w:t>
      </w:r>
      <w:r w:rsidRPr="00FB035B">
        <w:rPr>
          <w:sz w:val="20"/>
          <w:szCs w:val="20"/>
          <w:lang w:val="pt-BR"/>
        </w:rPr>
        <w:t xml:space="preserve">Min. </w:t>
      </w:r>
      <w:proofErr w:type="spellStart"/>
      <w:r w:rsidRPr="00FB035B">
        <w:rPr>
          <w:sz w:val="20"/>
          <w:szCs w:val="20"/>
          <w:lang w:val="pt-BR"/>
        </w:rPr>
        <w:t>Luis</w:t>
      </w:r>
      <w:proofErr w:type="spellEnd"/>
      <w:r w:rsidRPr="00FB035B">
        <w:rPr>
          <w:sz w:val="20"/>
          <w:szCs w:val="20"/>
          <w:lang w:val="pt-BR"/>
        </w:rPr>
        <w:t xml:space="preserve"> Felipe Salomão, (2007/0007392-5), Nov. 7, 2011, D.J. </w:t>
      </w:r>
      <w:proofErr w:type="spellStart"/>
      <w:r w:rsidRPr="00FB035B">
        <w:rPr>
          <w:sz w:val="20"/>
          <w:szCs w:val="20"/>
          <w:lang w:val="pt-BR"/>
        </w:rPr>
        <w:t>Feb</w:t>
      </w:r>
      <w:proofErr w:type="spellEnd"/>
      <w:r w:rsidRPr="00FB035B">
        <w:rPr>
          <w:sz w:val="20"/>
          <w:szCs w:val="20"/>
          <w:lang w:val="pt-BR"/>
        </w:rPr>
        <w:t xml:space="preserve">. 1, 2012. </w:t>
      </w:r>
    </w:p>
  </w:footnote>
  <w:footnote w:id="76">
    <w:p w:rsidR="000373FF" w:rsidRPr="00F02A12" w:rsidRDefault="000373FF" w:rsidP="00F02A12">
      <w:pPr>
        <w:pStyle w:val="Textodenotaderodap"/>
        <w:jc w:val="both"/>
        <w:rPr>
          <w:sz w:val="20"/>
          <w:szCs w:val="20"/>
        </w:rPr>
      </w:pPr>
      <w:r w:rsidRPr="00FB035B">
        <w:rPr>
          <w:rStyle w:val="Refdenotaderodap"/>
          <w:sz w:val="20"/>
          <w:szCs w:val="20"/>
        </w:rPr>
        <w:footnoteRef/>
      </w:r>
      <w:r w:rsidRPr="00FB035B">
        <w:rPr>
          <w:sz w:val="20"/>
          <w:szCs w:val="20"/>
        </w:rPr>
        <w:t xml:space="preserve"> </w:t>
      </w:r>
      <w:r w:rsidRPr="00FB035B">
        <w:rPr>
          <w:i/>
          <w:sz w:val="20"/>
          <w:szCs w:val="20"/>
        </w:rPr>
        <w:t>See</w:t>
      </w:r>
      <w:r>
        <w:rPr>
          <w:i/>
          <w:sz w:val="20"/>
          <w:szCs w:val="20"/>
        </w:rPr>
        <w:t xml:space="preserve"> </w:t>
      </w:r>
      <w:proofErr w:type="spellStart"/>
      <w:r w:rsidRPr="00D70537">
        <w:rPr>
          <w:smallCaps/>
          <w:sz w:val="20"/>
          <w:szCs w:val="20"/>
        </w:rPr>
        <w:t>Gregor</w:t>
      </w:r>
      <w:proofErr w:type="spellEnd"/>
      <w:r w:rsidRPr="00D70537">
        <w:rPr>
          <w:smallCaps/>
          <w:sz w:val="20"/>
          <w:szCs w:val="20"/>
        </w:rPr>
        <w:t xml:space="preserve"> Bachmann et al., Regulating the Closed Corporation</w:t>
      </w:r>
      <w:r>
        <w:rPr>
          <w:sz w:val="20"/>
          <w:szCs w:val="20"/>
        </w:rPr>
        <w:t xml:space="preserve"> 73-4 (2014). </w:t>
      </w:r>
    </w:p>
  </w:footnote>
  <w:footnote w:id="7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As explained in Part I.C below, the attribute of delegated management is weaker under Brazilian law. One of the implications is that all shareholders have a duty to exercise their voting rights in the interest of the company. </w:t>
      </w:r>
    </w:p>
  </w:footnote>
  <w:footnote w:id="7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Jens </w:t>
      </w:r>
      <w:proofErr w:type="spellStart"/>
      <w:r w:rsidRPr="00F02A12">
        <w:rPr>
          <w:sz w:val="20"/>
          <w:szCs w:val="20"/>
        </w:rPr>
        <w:t>Dammann</w:t>
      </w:r>
      <w:proofErr w:type="spellEnd"/>
      <w:r w:rsidRPr="00F02A12">
        <w:rPr>
          <w:sz w:val="20"/>
          <w:szCs w:val="20"/>
        </w:rPr>
        <w:t xml:space="preserve"> has provocatively argued in favor of expelling controlling shareholders as a remedy. However, his proposed system of “corporate ostracism” does not compromise lock-in: he would simply prevent the controlling shareholder from exercising voting rights or otherwise participating in the company, and requiring him or her to sell the shares to a third party within a certain period (e.g., two years). </w:t>
      </w:r>
      <w:r w:rsidRPr="00F02A12">
        <w:rPr>
          <w:i/>
          <w:sz w:val="20"/>
          <w:szCs w:val="20"/>
        </w:rPr>
        <w:t xml:space="preserve">See </w:t>
      </w:r>
      <w:r w:rsidRPr="00F02A12">
        <w:rPr>
          <w:sz w:val="20"/>
          <w:szCs w:val="20"/>
        </w:rPr>
        <w:t xml:space="preserve">Jens </w:t>
      </w:r>
      <w:proofErr w:type="spellStart"/>
      <w:r w:rsidRPr="00F02A12">
        <w:rPr>
          <w:sz w:val="20"/>
          <w:szCs w:val="20"/>
        </w:rPr>
        <w:t>Dammann</w:t>
      </w:r>
      <w:proofErr w:type="spellEnd"/>
      <w:r w:rsidRPr="00F02A12">
        <w:rPr>
          <w:sz w:val="20"/>
          <w:szCs w:val="20"/>
        </w:rPr>
        <w:t xml:space="preserve">, </w:t>
      </w:r>
      <w:r w:rsidRPr="00F02A12">
        <w:rPr>
          <w:i/>
          <w:sz w:val="20"/>
          <w:szCs w:val="20"/>
        </w:rPr>
        <w:t>Corporate Ostracism: Freezing Out Controlling Shareholders</w:t>
      </w:r>
      <w:r w:rsidRPr="00F02A12">
        <w:rPr>
          <w:sz w:val="20"/>
          <w:szCs w:val="20"/>
        </w:rPr>
        <w:t>, 33 J.</w:t>
      </w:r>
      <w:r w:rsidRPr="00F02A12">
        <w:rPr>
          <w:smallCaps/>
          <w:sz w:val="20"/>
          <w:szCs w:val="20"/>
        </w:rPr>
        <w:t xml:space="preserve"> Corp. L</w:t>
      </w:r>
      <w:r w:rsidRPr="00F02A12">
        <w:rPr>
          <w:sz w:val="20"/>
          <w:szCs w:val="20"/>
        </w:rPr>
        <w:t xml:space="preserve">. 681 (2008).  </w:t>
      </w:r>
    </w:p>
  </w:footnote>
  <w:footnote w:id="7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STJ, RESP 1.128.431-SP, Rel. Min. Nancy </w:t>
      </w:r>
      <w:proofErr w:type="spellStart"/>
      <w:r w:rsidRPr="00F02A12">
        <w:rPr>
          <w:sz w:val="20"/>
          <w:szCs w:val="20"/>
        </w:rPr>
        <w:t>Andrighi</w:t>
      </w:r>
      <w:proofErr w:type="spellEnd"/>
      <w:r w:rsidRPr="00F02A12">
        <w:rPr>
          <w:sz w:val="20"/>
          <w:szCs w:val="20"/>
        </w:rPr>
        <w:t xml:space="preserve">. J. Oct. 11, 2011, D.J. Oct. 25, 2011 (arguing that it is up to the minority shareholders, if they so desire, to file a counterclaim for the withdrawal of majority shareholders). By permitting majority shareholders to freeze out the minority at any time, this case aggravates, rather than mitigates, the problem of minority expropriation. </w:t>
      </w:r>
    </w:p>
  </w:footnote>
  <w:footnote w:id="80">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Civil Code, Art. 1.845.</w:t>
      </w:r>
    </w:p>
  </w:footnote>
  <w:footnote w:id="81">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rPr>
        <w:t xml:space="preserve"> </w:t>
      </w:r>
      <w:r w:rsidRPr="00F02A12">
        <w:rPr>
          <w:i/>
          <w:sz w:val="20"/>
          <w:szCs w:val="20"/>
        </w:rPr>
        <w:t xml:space="preserve">See </w:t>
      </w:r>
      <w:r w:rsidRPr="00F02A12">
        <w:rPr>
          <w:smallCaps/>
          <w:sz w:val="20"/>
          <w:szCs w:val="20"/>
        </w:rPr>
        <w:t xml:space="preserve">Harold James, Family Capitalism: </w:t>
      </w:r>
      <w:proofErr w:type="spellStart"/>
      <w:r w:rsidRPr="00F02A12">
        <w:rPr>
          <w:smallCaps/>
          <w:sz w:val="20"/>
          <w:szCs w:val="20"/>
        </w:rPr>
        <w:t>Wendels</w:t>
      </w:r>
      <w:proofErr w:type="spellEnd"/>
      <w:r w:rsidRPr="00F02A12">
        <w:rPr>
          <w:smallCaps/>
          <w:sz w:val="20"/>
          <w:szCs w:val="20"/>
        </w:rPr>
        <w:t xml:space="preserve">, </w:t>
      </w:r>
      <w:proofErr w:type="spellStart"/>
      <w:r w:rsidRPr="00F02A12">
        <w:rPr>
          <w:smallCaps/>
          <w:sz w:val="20"/>
          <w:szCs w:val="20"/>
        </w:rPr>
        <w:t>Haniels</w:t>
      </w:r>
      <w:proofErr w:type="spellEnd"/>
      <w:r w:rsidRPr="00F02A12">
        <w:rPr>
          <w:smallCaps/>
          <w:sz w:val="20"/>
          <w:szCs w:val="20"/>
        </w:rPr>
        <w:t xml:space="preserve">, </w:t>
      </w:r>
      <w:proofErr w:type="spellStart"/>
      <w:r w:rsidRPr="00F02A12">
        <w:rPr>
          <w:smallCaps/>
          <w:sz w:val="20"/>
          <w:szCs w:val="20"/>
        </w:rPr>
        <w:t>Falcks</w:t>
      </w:r>
      <w:proofErr w:type="spellEnd"/>
      <w:r w:rsidRPr="00F02A12">
        <w:rPr>
          <w:smallCaps/>
          <w:sz w:val="20"/>
          <w:szCs w:val="20"/>
        </w:rPr>
        <w:t>, and the Continental European Model 19 (2009)</w:t>
      </w:r>
      <w:r>
        <w:rPr>
          <w:sz w:val="20"/>
          <w:szCs w:val="20"/>
        </w:rPr>
        <w:t xml:space="preserve">. James also notes that </w:t>
      </w:r>
      <w:r w:rsidRPr="00F02A12">
        <w:rPr>
          <w:sz w:val="20"/>
          <w:szCs w:val="20"/>
        </w:rPr>
        <w:t>“[</w:t>
      </w:r>
      <w:proofErr w:type="spellStart"/>
      <w:r w:rsidRPr="00F02A12">
        <w:rPr>
          <w:sz w:val="20"/>
          <w:szCs w:val="20"/>
        </w:rPr>
        <w:t>i</w:t>
      </w:r>
      <w:proofErr w:type="spellEnd"/>
      <w:r w:rsidRPr="00F02A12">
        <w:rPr>
          <w:sz w:val="20"/>
          <w:szCs w:val="20"/>
        </w:rPr>
        <w:t xml:space="preserve">]n the late twentieth century, Pierre Bourdieu argued that the </w:t>
      </w:r>
      <w:proofErr w:type="spellStart"/>
      <w:r w:rsidRPr="00F02A12">
        <w:rPr>
          <w:i/>
          <w:sz w:val="20"/>
          <w:szCs w:val="20"/>
        </w:rPr>
        <w:t>grande</w:t>
      </w:r>
      <w:proofErr w:type="spellEnd"/>
      <w:r w:rsidRPr="00F02A12">
        <w:rPr>
          <w:i/>
          <w:sz w:val="20"/>
          <w:szCs w:val="20"/>
        </w:rPr>
        <w:t xml:space="preserve"> </w:t>
      </w:r>
      <w:proofErr w:type="spellStart"/>
      <w:r w:rsidRPr="00F02A12">
        <w:rPr>
          <w:i/>
          <w:sz w:val="20"/>
          <w:szCs w:val="20"/>
        </w:rPr>
        <w:t>famille</w:t>
      </w:r>
      <w:proofErr w:type="spellEnd"/>
      <w:r w:rsidRPr="00F02A12">
        <w:rPr>
          <w:sz w:val="20"/>
          <w:szCs w:val="20"/>
        </w:rPr>
        <w:t xml:space="preserve"> had rescued itself only by using the device of the company as a legal means of protecting itself against the code’s requirement of partition”). </w:t>
      </w:r>
      <w:r w:rsidRPr="00F02A12">
        <w:rPr>
          <w:i/>
          <w:sz w:val="20"/>
          <w:szCs w:val="20"/>
          <w:lang w:val="pt-BR"/>
        </w:rPr>
        <w:t>Id</w:t>
      </w:r>
      <w:r w:rsidRPr="00F02A12">
        <w:rPr>
          <w:sz w:val="20"/>
          <w:szCs w:val="20"/>
          <w:lang w:val="pt-BR"/>
        </w:rPr>
        <w:t xml:space="preserve">. </w:t>
      </w:r>
      <w:proofErr w:type="spellStart"/>
      <w:r w:rsidRPr="00F02A12">
        <w:rPr>
          <w:sz w:val="20"/>
          <w:szCs w:val="20"/>
          <w:lang w:val="pt-BR"/>
        </w:rPr>
        <w:t>at</w:t>
      </w:r>
      <w:proofErr w:type="spellEnd"/>
      <w:r w:rsidRPr="00F02A12">
        <w:rPr>
          <w:sz w:val="20"/>
          <w:szCs w:val="20"/>
          <w:lang w:val="pt-BR"/>
        </w:rPr>
        <w:t xml:space="preserve"> 72.</w:t>
      </w:r>
    </w:p>
  </w:footnote>
  <w:footnote w:id="82">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lang w:val="pt-BR"/>
        </w:rPr>
        <w:t xml:space="preserve"> TJSP, AI 236.462.4/9, Rel. Des. </w:t>
      </w:r>
      <w:proofErr w:type="spellStart"/>
      <w:r w:rsidRPr="00F02A12">
        <w:rPr>
          <w:sz w:val="20"/>
          <w:szCs w:val="20"/>
          <w:lang w:val="pt-BR"/>
        </w:rPr>
        <w:t>Ruiter</w:t>
      </w:r>
      <w:proofErr w:type="spellEnd"/>
      <w:r w:rsidRPr="00F02A12">
        <w:rPr>
          <w:sz w:val="20"/>
          <w:szCs w:val="20"/>
          <w:lang w:val="pt-BR"/>
        </w:rPr>
        <w:t xml:space="preserve"> Oliva, J. </w:t>
      </w:r>
      <w:proofErr w:type="spellStart"/>
      <w:r w:rsidRPr="00F02A12">
        <w:rPr>
          <w:sz w:val="20"/>
          <w:szCs w:val="20"/>
          <w:lang w:val="pt-BR"/>
        </w:rPr>
        <w:t>Apr</w:t>
      </w:r>
      <w:proofErr w:type="spellEnd"/>
      <w:r w:rsidRPr="00F02A12">
        <w:rPr>
          <w:sz w:val="20"/>
          <w:szCs w:val="20"/>
          <w:lang w:val="pt-BR"/>
        </w:rPr>
        <w:t>. 30, 2002.</w:t>
      </w:r>
    </w:p>
  </w:footnote>
  <w:footnote w:id="83">
    <w:p w:rsidR="000373FF" w:rsidRPr="00F02A12" w:rsidRDefault="000373FF" w:rsidP="00831413">
      <w:pPr>
        <w:pStyle w:val="Textodenotaderodap"/>
        <w:jc w:val="both"/>
        <w:rPr>
          <w:sz w:val="20"/>
          <w:szCs w:val="20"/>
          <w:lang w:val="pt-BR"/>
        </w:rPr>
      </w:pPr>
      <w:r w:rsidRPr="00F02A12">
        <w:rPr>
          <w:rStyle w:val="Refdenotaderodap"/>
          <w:sz w:val="20"/>
          <w:szCs w:val="20"/>
        </w:rPr>
        <w:footnoteRef/>
      </w:r>
      <w:r w:rsidRPr="00F02A12">
        <w:rPr>
          <w:sz w:val="20"/>
          <w:szCs w:val="20"/>
          <w:lang w:val="pt-BR"/>
        </w:rPr>
        <w:t xml:space="preserve"> </w:t>
      </w:r>
      <w:proofErr w:type="spellStart"/>
      <w:r w:rsidRPr="00F02A12">
        <w:rPr>
          <w:i/>
          <w:sz w:val="20"/>
          <w:szCs w:val="20"/>
          <w:lang w:val="pt-BR"/>
        </w:rPr>
        <w:t>See</w:t>
      </w:r>
      <w:proofErr w:type="spellEnd"/>
      <w:r w:rsidRPr="00F02A12">
        <w:rPr>
          <w:sz w:val="20"/>
          <w:szCs w:val="20"/>
          <w:lang w:val="pt-BR"/>
        </w:rPr>
        <w:t xml:space="preserve">, </w:t>
      </w:r>
      <w:r w:rsidRPr="00F02A12">
        <w:rPr>
          <w:i/>
          <w:sz w:val="20"/>
          <w:szCs w:val="20"/>
          <w:lang w:val="pt-BR"/>
        </w:rPr>
        <w:t>e.g.</w:t>
      </w:r>
      <w:r w:rsidRPr="00F02A12">
        <w:rPr>
          <w:sz w:val="20"/>
          <w:szCs w:val="20"/>
          <w:lang w:val="pt-BR"/>
        </w:rPr>
        <w:t xml:space="preserve">, </w:t>
      </w:r>
      <w:r w:rsidRPr="00F02A12">
        <w:rPr>
          <w:smallCaps/>
          <w:sz w:val="20"/>
          <w:szCs w:val="20"/>
          <w:lang w:val="pt-BR"/>
        </w:rPr>
        <w:t xml:space="preserve">Luiz Gastão Paes de Barros </w:t>
      </w:r>
      <w:proofErr w:type="spellStart"/>
      <w:r w:rsidRPr="00F02A12">
        <w:rPr>
          <w:smallCaps/>
          <w:sz w:val="20"/>
          <w:szCs w:val="20"/>
          <w:lang w:val="pt-BR"/>
        </w:rPr>
        <w:t>Leães</w:t>
      </w:r>
      <w:proofErr w:type="spellEnd"/>
      <w:r w:rsidRPr="00F02A12">
        <w:rPr>
          <w:sz w:val="20"/>
          <w:szCs w:val="20"/>
          <w:lang w:val="pt-BR"/>
        </w:rPr>
        <w:t xml:space="preserve">, </w:t>
      </w:r>
      <w:r w:rsidRPr="00F02A12">
        <w:rPr>
          <w:smallCaps/>
          <w:sz w:val="20"/>
          <w:szCs w:val="20"/>
          <w:lang w:val="pt-BR"/>
        </w:rPr>
        <w:t>Pareceres 942-43; 949 (2004)</w:t>
      </w:r>
      <w:r w:rsidRPr="00F02A12">
        <w:rPr>
          <w:sz w:val="20"/>
          <w:szCs w:val="20"/>
          <w:lang w:val="pt-BR"/>
        </w:rPr>
        <w:t xml:space="preserve">; </w:t>
      </w:r>
      <w:r w:rsidRPr="00F02A12">
        <w:rPr>
          <w:smallCaps/>
          <w:sz w:val="20"/>
          <w:szCs w:val="20"/>
          <w:lang w:val="pt-BR"/>
        </w:rPr>
        <w:t xml:space="preserve">Nelson </w:t>
      </w:r>
      <w:proofErr w:type="spellStart"/>
      <w:r w:rsidRPr="00F02A12">
        <w:rPr>
          <w:smallCaps/>
          <w:sz w:val="20"/>
          <w:szCs w:val="20"/>
          <w:lang w:val="pt-BR"/>
        </w:rPr>
        <w:t>Eizirik</w:t>
      </w:r>
      <w:proofErr w:type="spellEnd"/>
      <w:r w:rsidRPr="00F02A12">
        <w:rPr>
          <w:smallCaps/>
          <w:sz w:val="20"/>
          <w:szCs w:val="20"/>
          <w:lang w:val="pt-BR"/>
        </w:rPr>
        <w:t xml:space="preserve">, A Lei das S/A Comentada </w:t>
      </w:r>
      <w:r w:rsidRPr="00F02A12">
        <w:rPr>
          <w:sz w:val="20"/>
          <w:szCs w:val="20"/>
          <w:lang w:val="pt-BR"/>
        </w:rPr>
        <w:t>157-162 (2011).</w:t>
      </w:r>
    </w:p>
  </w:footnote>
  <w:footnote w:id="84">
    <w:p w:rsidR="000373FF" w:rsidRPr="00831413" w:rsidRDefault="000373FF" w:rsidP="00831413">
      <w:pPr>
        <w:pStyle w:val="Textodenotaderodap"/>
        <w:jc w:val="both"/>
        <w:rPr>
          <w:sz w:val="20"/>
          <w:szCs w:val="20"/>
          <w:lang w:val="pt-BR"/>
        </w:rPr>
      </w:pPr>
      <w:r w:rsidRPr="00F02A12">
        <w:rPr>
          <w:rStyle w:val="Refdenotaderodap"/>
          <w:sz w:val="20"/>
          <w:szCs w:val="20"/>
        </w:rPr>
        <w:footnoteRef/>
      </w:r>
      <w:r w:rsidRPr="00F02A12">
        <w:rPr>
          <w:sz w:val="20"/>
          <w:szCs w:val="20"/>
          <w:lang w:val="pt-BR"/>
        </w:rPr>
        <w:t xml:space="preserve"> </w:t>
      </w:r>
      <w:proofErr w:type="spellStart"/>
      <w:r w:rsidRPr="00F02A12">
        <w:rPr>
          <w:i/>
          <w:sz w:val="20"/>
          <w:szCs w:val="20"/>
          <w:lang w:val="pt-BR"/>
        </w:rPr>
        <w:t>See</w:t>
      </w:r>
      <w:proofErr w:type="spellEnd"/>
      <w:r w:rsidRPr="00F02A12">
        <w:rPr>
          <w:sz w:val="20"/>
          <w:szCs w:val="20"/>
          <w:lang w:val="pt-BR"/>
        </w:rPr>
        <w:t xml:space="preserve">, </w:t>
      </w:r>
      <w:r w:rsidRPr="00F02A12">
        <w:rPr>
          <w:i/>
          <w:sz w:val="20"/>
          <w:szCs w:val="20"/>
          <w:lang w:val="pt-BR"/>
        </w:rPr>
        <w:t>e.g.</w:t>
      </w:r>
      <w:r w:rsidRPr="00F02A12">
        <w:rPr>
          <w:sz w:val="20"/>
          <w:szCs w:val="20"/>
          <w:lang w:val="pt-BR"/>
        </w:rPr>
        <w:t xml:space="preserve">, </w:t>
      </w:r>
      <w:r w:rsidRPr="00F02A12">
        <w:rPr>
          <w:smallCaps/>
          <w:sz w:val="20"/>
          <w:szCs w:val="20"/>
          <w:lang w:val="pt-BR"/>
        </w:rPr>
        <w:t>Mode</w:t>
      </w:r>
      <w:r w:rsidRPr="00831413">
        <w:rPr>
          <w:smallCaps/>
          <w:sz w:val="20"/>
          <w:szCs w:val="20"/>
          <w:lang w:val="pt-BR"/>
        </w:rPr>
        <w:t>sto Carvalhosa, Comentários à Lei de Sociedades Anônimas 44-45 (5</w:t>
      </w:r>
      <w:r w:rsidRPr="00831413">
        <w:rPr>
          <w:sz w:val="20"/>
          <w:szCs w:val="20"/>
          <w:lang w:val="pt-BR"/>
        </w:rPr>
        <w:t xml:space="preserve">d ed. 2011); </w:t>
      </w:r>
      <w:r w:rsidRPr="00831413">
        <w:rPr>
          <w:smallCaps/>
          <w:sz w:val="20"/>
          <w:szCs w:val="20"/>
          <w:lang w:val="pt-BR"/>
        </w:rPr>
        <w:t>R</w:t>
      </w:r>
      <w:r w:rsidRPr="00831413">
        <w:rPr>
          <w:sz w:val="20"/>
          <w:szCs w:val="20"/>
          <w:lang w:val="pt-BR"/>
        </w:rPr>
        <w:t xml:space="preserve">oberta </w:t>
      </w:r>
      <w:proofErr w:type="spellStart"/>
      <w:r w:rsidRPr="00831413">
        <w:rPr>
          <w:sz w:val="20"/>
          <w:szCs w:val="20"/>
          <w:lang w:val="pt-BR"/>
        </w:rPr>
        <w:t>Nioac</w:t>
      </w:r>
      <w:proofErr w:type="spellEnd"/>
      <w:r w:rsidRPr="00831413">
        <w:rPr>
          <w:sz w:val="20"/>
          <w:szCs w:val="20"/>
          <w:lang w:val="pt-BR"/>
        </w:rPr>
        <w:t xml:space="preserve"> Prado, </w:t>
      </w:r>
      <w:r w:rsidRPr="00831413">
        <w:rPr>
          <w:i/>
          <w:sz w:val="20"/>
          <w:szCs w:val="20"/>
          <w:lang w:val="pt-BR"/>
        </w:rPr>
        <w:t xml:space="preserve">Dissolução de “Holding” S/A e Apuração de Haveres, </w:t>
      </w:r>
      <w:r w:rsidRPr="00831413">
        <w:rPr>
          <w:sz w:val="20"/>
          <w:szCs w:val="20"/>
          <w:lang w:val="pt-BR"/>
        </w:rPr>
        <w:t xml:space="preserve">113 </w:t>
      </w:r>
      <w:r w:rsidRPr="00831413">
        <w:rPr>
          <w:smallCaps/>
          <w:sz w:val="20"/>
          <w:szCs w:val="20"/>
          <w:lang w:val="pt-BR"/>
        </w:rPr>
        <w:t>Revista de Direito Mercantil 230, 230-236 (1999).</w:t>
      </w:r>
    </w:p>
  </w:footnote>
  <w:footnote w:id="85">
    <w:p w:rsidR="000373FF" w:rsidRPr="00831413" w:rsidRDefault="000373FF" w:rsidP="00831413">
      <w:pPr>
        <w:pStyle w:val="Textodenotaderodap"/>
        <w:jc w:val="both"/>
        <w:rPr>
          <w:sz w:val="20"/>
          <w:szCs w:val="20"/>
        </w:rPr>
      </w:pPr>
      <w:r w:rsidRPr="00831413">
        <w:rPr>
          <w:rStyle w:val="Refdenotaderodap"/>
          <w:sz w:val="20"/>
          <w:szCs w:val="20"/>
        </w:rPr>
        <w:footnoteRef/>
      </w:r>
      <w:r w:rsidRPr="00831413">
        <w:rPr>
          <w:sz w:val="20"/>
          <w:szCs w:val="20"/>
        </w:rPr>
        <w:t xml:space="preserve"> For a recent </w:t>
      </w:r>
      <w:r>
        <w:rPr>
          <w:sz w:val="20"/>
          <w:szCs w:val="20"/>
        </w:rPr>
        <w:t xml:space="preserve">vigorous defense of limited liability, </w:t>
      </w:r>
      <w:r>
        <w:rPr>
          <w:i/>
          <w:sz w:val="20"/>
          <w:szCs w:val="20"/>
        </w:rPr>
        <w:t>see</w:t>
      </w:r>
      <w:r w:rsidRPr="00831413">
        <w:rPr>
          <w:i/>
          <w:smallCaps/>
          <w:sz w:val="20"/>
          <w:szCs w:val="20"/>
        </w:rPr>
        <w:t xml:space="preserve"> </w:t>
      </w:r>
      <w:r w:rsidRPr="00831413">
        <w:rPr>
          <w:smallCaps/>
          <w:sz w:val="20"/>
          <w:szCs w:val="20"/>
        </w:rPr>
        <w:t>Stephen M. Bainbridge &amp; M. Todd Henderson, Limited Liability: A Legal and Economic Analysis</w:t>
      </w:r>
      <w:r w:rsidRPr="00831413">
        <w:rPr>
          <w:sz w:val="20"/>
          <w:szCs w:val="20"/>
        </w:rPr>
        <w:t xml:space="preserve"> </w:t>
      </w:r>
      <w:r>
        <w:rPr>
          <w:sz w:val="20"/>
          <w:szCs w:val="20"/>
        </w:rPr>
        <w:t xml:space="preserve">2 </w:t>
      </w:r>
      <w:r w:rsidRPr="00831413">
        <w:rPr>
          <w:sz w:val="20"/>
          <w:szCs w:val="20"/>
        </w:rPr>
        <w:t>(2016)</w:t>
      </w:r>
      <w:r>
        <w:rPr>
          <w:sz w:val="20"/>
          <w:szCs w:val="20"/>
        </w:rPr>
        <w:t xml:space="preserve"> (describing limited liability as “[t]</w:t>
      </w:r>
      <w:r w:rsidRPr="00831413">
        <w:rPr>
          <w:sz w:val="20"/>
          <w:szCs w:val="20"/>
        </w:rPr>
        <w:t>he key feature of the corporation that makes it such an attractive form</w:t>
      </w:r>
      <w:r>
        <w:rPr>
          <w:sz w:val="20"/>
          <w:szCs w:val="20"/>
        </w:rPr>
        <w:t xml:space="preserve"> </w:t>
      </w:r>
      <w:r w:rsidRPr="00831413">
        <w:rPr>
          <w:sz w:val="20"/>
          <w:szCs w:val="20"/>
        </w:rPr>
        <w:t>of huma</w:t>
      </w:r>
      <w:r>
        <w:rPr>
          <w:sz w:val="20"/>
          <w:szCs w:val="20"/>
        </w:rPr>
        <w:t xml:space="preserve">n cooperation and collaboration”). </w:t>
      </w:r>
      <w:r>
        <w:rPr>
          <w:i/>
          <w:sz w:val="20"/>
          <w:szCs w:val="20"/>
        </w:rPr>
        <w:t xml:space="preserve">See also </w:t>
      </w:r>
      <w:r w:rsidRPr="00F02A12">
        <w:rPr>
          <w:smallCaps/>
          <w:sz w:val="20"/>
          <w:szCs w:val="20"/>
        </w:rPr>
        <w:t xml:space="preserve">Easterbrook &amp; </w:t>
      </w:r>
      <w:proofErr w:type="spellStart"/>
      <w:r w:rsidRPr="00F02A12">
        <w:rPr>
          <w:smallCaps/>
          <w:sz w:val="20"/>
          <w:szCs w:val="20"/>
        </w:rPr>
        <w:t>Fischel</w:t>
      </w:r>
      <w:proofErr w:type="spellEnd"/>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_Ref455609061 \h  \* MERGEFORMAT </w:instrText>
      </w:r>
      <w:r w:rsidRPr="00F02A12">
        <w:rPr>
          <w:sz w:val="20"/>
          <w:szCs w:val="20"/>
        </w:rPr>
      </w:r>
      <w:r w:rsidRPr="00F02A12">
        <w:rPr>
          <w:sz w:val="20"/>
          <w:szCs w:val="20"/>
        </w:rPr>
        <w:fldChar w:fldCharType="separate"/>
      </w:r>
      <w:r>
        <w:rPr>
          <w:sz w:val="20"/>
          <w:szCs w:val="20"/>
        </w:rPr>
        <w:t>44</w:t>
      </w:r>
      <w:r w:rsidRPr="00F02A12">
        <w:rPr>
          <w:sz w:val="20"/>
          <w:szCs w:val="20"/>
        </w:rPr>
        <w:fldChar w:fldCharType="end"/>
      </w:r>
      <w:r w:rsidRPr="00F02A12">
        <w:rPr>
          <w:sz w:val="20"/>
          <w:szCs w:val="20"/>
        </w:rPr>
        <w:t xml:space="preserve">, at 40 (“Limited liability is a distinguishing feature of corporate law—perhaps </w:t>
      </w:r>
      <w:r w:rsidRPr="00F02A12">
        <w:rPr>
          <w:i/>
          <w:sz w:val="20"/>
          <w:szCs w:val="20"/>
        </w:rPr>
        <w:t xml:space="preserve">the </w:t>
      </w:r>
      <w:r w:rsidRPr="00F02A12">
        <w:rPr>
          <w:sz w:val="20"/>
          <w:szCs w:val="20"/>
        </w:rPr>
        <w:t xml:space="preserve">distinguishing feature”); David </w:t>
      </w:r>
      <w:proofErr w:type="spellStart"/>
      <w:r w:rsidRPr="00F02A12">
        <w:rPr>
          <w:sz w:val="20"/>
          <w:szCs w:val="20"/>
        </w:rPr>
        <w:t>Leebron</w:t>
      </w:r>
      <w:proofErr w:type="spellEnd"/>
      <w:r w:rsidRPr="00F02A12">
        <w:rPr>
          <w:sz w:val="20"/>
          <w:szCs w:val="20"/>
        </w:rPr>
        <w:t xml:space="preserve">, </w:t>
      </w:r>
      <w:r w:rsidRPr="00F02A12">
        <w:rPr>
          <w:i/>
          <w:sz w:val="20"/>
          <w:szCs w:val="20"/>
        </w:rPr>
        <w:t>Limited Liability, Tort Victims, and Creditors</w:t>
      </w:r>
      <w:r w:rsidRPr="00F02A12">
        <w:rPr>
          <w:sz w:val="20"/>
          <w:szCs w:val="20"/>
        </w:rPr>
        <w:t xml:space="preserve">, 91 </w:t>
      </w:r>
      <w:r w:rsidRPr="00F02A12">
        <w:rPr>
          <w:smallCaps/>
          <w:sz w:val="20"/>
          <w:szCs w:val="20"/>
        </w:rPr>
        <w:t>Colum. L. Rev. 1565</w:t>
      </w:r>
      <w:r w:rsidRPr="00F02A12">
        <w:rPr>
          <w:sz w:val="20"/>
          <w:szCs w:val="20"/>
        </w:rPr>
        <w:t>, 1566 (1991) (“No principle seems more established in capitalist law, or more essential to the functioning of the modern economy”).</w:t>
      </w:r>
    </w:p>
  </w:footnote>
  <w:footnote w:id="86">
    <w:p w:rsidR="000373FF" w:rsidRPr="00F02A12" w:rsidRDefault="000373FF" w:rsidP="00831413">
      <w:pPr>
        <w:pStyle w:val="Textodenotaderodap"/>
        <w:jc w:val="both"/>
        <w:rPr>
          <w:rFonts w:cs="Times New Roman"/>
          <w:sz w:val="20"/>
          <w:szCs w:val="20"/>
        </w:rPr>
      </w:pPr>
      <w:r w:rsidRPr="00831413">
        <w:rPr>
          <w:rStyle w:val="Refdenotaderodap"/>
          <w:rFonts w:cs="Times New Roman"/>
          <w:sz w:val="20"/>
          <w:szCs w:val="20"/>
        </w:rPr>
        <w:footnoteRef/>
      </w:r>
      <w:r w:rsidRPr="00831413">
        <w:rPr>
          <w:rFonts w:cs="Times New Roman"/>
          <w:sz w:val="20"/>
          <w:szCs w:val="20"/>
        </w:rPr>
        <w:t xml:space="preserve"> </w:t>
      </w:r>
      <w:proofErr w:type="spellStart"/>
      <w:r w:rsidRPr="00831413">
        <w:rPr>
          <w:rFonts w:cs="Times New Roman"/>
          <w:sz w:val="20"/>
          <w:szCs w:val="20"/>
        </w:rPr>
        <w:t>Hansmann</w:t>
      </w:r>
      <w:proofErr w:type="spellEnd"/>
      <w:r w:rsidRPr="00831413">
        <w:rPr>
          <w:rFonts w:cs="Times New Roman"/>
          <w:sz w:val="20"/>
          <w:szCs w:val="20"/>
        </w:rPr>
        <w:t xml:space="preserve"> et al</w:t>
      </w:r>
      <w:r w:rsidRPr="00F02A12">
        <w:rPr>
          <w:rFonts w:cs="Times New Roman"/>
          <w:sz w:val="20"/>
          <w:szCs w:val="20"/>
        </w:rPr>
        <w:t xml:space="preserve">., </w:t>
      </w:r>
      <w:r w:rsidRPr="00F02A12">
        <w:rPr>
          <w:rFonts w:cs="Times New Roman"/>
          <w:i/>
          <w:sz w:val="20"/>
          <w:szCs w:val="20"/>
        </w:rPr>
        <w:t xml:space="preserve">supra </w:t>
      </w:r>
      <w:r w:rsidRPr="00F02A12">
        <w:rPr>
          <w:rFonts w:cs="Times New Roman"/>
          <w:sz w:val="20"/>
          <w:szCs w:val="20"/>
        </w:rPr>
        <w:t xml:space="preserve">note </w:t>
      </w:r>
      <w:r w:rsidRPr="00F02A12">
        <w:rPr>
          <w:sz w:val="20"/>
          <w:szCs w:val="20"/>
        </w:rPr>
        <w:fldChar w:fldCharType="begin"/>
      </w:r>
      <w:r w:rsidRPr="00F02A12">
        <w:rPr>
          <w:sz w:val="20"/>
          <w:szCs w:val="20"/>
        </w:rPr>
        <w:instrText xml:space="preserve"> NOTEREF _Ref451518141 \h  \* MERGEFORMAT </w:instrText>
      </w:r>
      <w:r w:rsidRPr="00F02A12">
        <w:rPr>
          <w:sz w:val="20"/>
          <w:szCs w:val="20"/>
        </w:rPr>
      </w:r>
      <w:r w:rsidRPr="00F02A12">
        <w:rPr>
          <w:sz w:val="20"/>
          <w:szCs w:val="20"/>
        </w:rPr>
        <w:fldChar w:fldCharType="separate"/>
      </w:r>
      <w:r w:rsidRPr="00DD69EC">
        <w:rPr>
          <w:rFonts w:cs="Times New Roman"/>
          <w:sz w:val="20"/>
          <w:szCs w:val="20"/>
        </w:rPr>
        <w:t>22</w:t>
      </w:r>
      <w:r w:rsidRPr="00F02A12">
        <w:rPr>
          <w:sz w:val="20"/>
          <w:szCs w:val="20"/>
        </w:rPr>
        <w:fldChar w:fldCharType="end"/>
      </w:r>
      <w:r w:rsidRPr="00F02A12">
        <w:rPr>
          <w:rFonts w:cs="Times New Roman"/>
          <w:sz w:val="20"/>
          <w:szCs w:val="20"/>
        </w:rPr>
        <w:t>, at 1339.</w:t>
      </w:r>
    </w:p>
  </w:footnote>
  <w:footnote w:id="87">
    <w:p w:rsidR="000373FF" w:rsidRPr="00F02A12" w:rsidRDefault="000373FF" w:rsidP="00F02A12">
      <w:pPr>
        <w:pStyle w:val="Textodenotaderodap"/>
        <w:jc w:val="both"/>
        <w:rPr>
          <w:sz w:val="20"/>
          <w:szCs w:val="20"/>
        </w:rPr>
      </w:pPr>
      <w:r w:rsidRPr="00F02A12">
        <w:rPr>
          <w:rStyle w:val="Refdenotaderodap"/>
          <w:sz w:val="20"/>
          <w:szCs w:val="20"/>
        </w:rPr>
        <w:footnoteRef/>
      </w:r>
      <w:r>
        <w:rPr>
          <w:sz w:val="20"/>
          <w:szCs w:val="20"/>
        </w:rPr>
        <w:t xml:space="preserve"> For</w:t>
      </w:r>
      <w:r w:rsidRPr="00F02A12">
        <w:rPr>
          <w:sz w:val="20"/>
          <w:szCs w:val="20"/>
        </w:rPr>
        <w:t xml:space="preserve"> broad overviews of the benefits of limited liability, </w:t>
      </w:r>
      <w:r w:rsidRPr="00F02A12">
        <w:rPr>
          <w:i/>
          <w:sz w:val="20"/>
          <w:szCs w:val="20"/>
        </w:rPr>
        <w:t xml:space="preserve">see </w:t>
      </w:r>
      <w:r w:rsidRPr="00831413">
        <w:rPr>
          <w:smallCaps/>
          <w:sz w:val="20"/>
          <w:szCs w:val="20"/>
        </w:rPr>
        <w:t>Bainbridge &amp; Henderson,</w:t>
      </w:r>
      <w:r>
        <w:rPr>
          <w:sz w:val="20"/>
          <w:szCs w:val="20"/>
        </w:rPr>
        <w:t xml:space="preserve"> </w:t>
      </w:r>
      <w:r>
        <w:rPr>
          <w:i/>
          <w:sz w:val="20"/>
          <w:szCs w:val="20"/>
        </w:rPr>
        <w:t xml:space="preserve">supra </w:t>
      </w:r>
      <w:r>
        <w:rPr>
          <w:sz w:val="20"/>
          <w:szCs w:val="20"/>
        </w:rPr>
        <w:t xml:space="preserve">note </w:t>
      </w:r>
      <w:r>
        <w:rPr>
          <w:sz w:val="20"/>
          <w:szCs w:val="20"/>
        </w:rPr>
        <w:fldChar w:fldCharType="begin"/>
      </w:r>
      <w:r>
        <w:rPr>
          <w:sz w:val="20"/>
          <w:szCs w:val="20"/>
        </w:rPr>
        <w:instrText xml:space="preserve"> NOTEREF _Ref464281200 \h </w:instrText>
      </w:r>
      <w:r>
        <w:rPr>
          <w:sz w:val="20"/>
          <w:szCs w:val="20"/>
        </w:rPr>
      </w:r>
      <w:r>
        <w:rPr>
          <w:sz w:val="20"/>
          <w:szCs w:val="20"/>
        </w:rPr>
        <w:fldChar w:fldCharType="separate"/>
      </w:r>
      <w:r>
        <w:rPr>
          <w:sz w:val="20"/>
          <w:szCs w:val="20"/>
        </w:rPr>
        <w:t>85</w:t>
      </w:r>
      <w:r>
        <w:rPr>
          <w:sz w:val="20"/>
          <w:szCs w:val="20"/>
        </w:rPr>
        <w:fldChar w:fldCharType="end"/>
      </w:r>
      <w:r>
        <w:rPr>
          <w:sz w:val="20"/>
          <w:szCs w:val="20"/>
        </w:rPr>
        <w:t xml:space="preserve">; </w:t>
      </w:r>
      <w:r w:rsidRPr="00F02A12">
        <w:rPr>
          <w:sz w:val="20"/>
          <w:szCs w:val="20"/>
        </w:rPr>
        <w:t xml:space="preserve">Easterbrook &amp; </w:t>
      </w:r>
      <w:proofErr w:type="spellStart"/>
      <w:r w:rsidRPr="00F02A12">
        <w:rPr>
          <w:sz w:val="20"/>
          <w:szCs w:val="20"/>
        </w:rPr>
        <w:t>Fischel</w:t>
      </w:r>
      <w:proofErr w:type="spellEnd"/>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_Ref452991012 \h  \* MERGEFORMAT </w:instrText>
      </w:r>
      <w:r w:rsidRPr="00F02A12">
        <w:rPr>
          <w:sz w:val="20"/>
          <w:szCs w:val="20"/>
        </w:rPr>
      </w:r>
      <w:r w:rsidRPr="00F02A12">
        <w:rPr>
          <w:sz w:val="20"/>
          <w:szCs w:val="20"/>
        </w:rPr>
        <w:fldChar w:fldCharType="separate"/>
      </w:r>
      <w:r>
        <w:rPr>
          <w:sz w:val="20"/>
          <w:szCs w:val="20"/>
        </w:rPr>
        <w:t>205</w:t>
      </w:r>
      <w:r w:rsidRPr="00F02A12">
        <w:rPr>
          <w:sz w:val="20"/>
          <w:szCs w:val="20"/>
        </w:rPr>
        <w:fldChar w:fldCharType="end"/>
      </w:r>
      <w:r w:rsidRPr="00F02A12">
        <w:rPr>
          <w:sz w:val="20"/>
          <w:szCs w:val="20"/>
        </w:rPr>
        <w:t xml:space="preserve">; John </w:t>
      </w:r>
      <w:proofErr w:type="spellStart"/>
      <w:r w:rsidRPr="00F02A12">
        <w:rPr>
          <w:sz w:val="20"/>
          <w:szCs w:val="20"/>
        </w:rPr>
        <w:t>Armour</w:t>
      </w:r>
      <w:proofErr w:type="spellEnd"/>
      <w:r w:rsidRPr="00F02A12">
        <w:rPr>
          <w:sz w:val="20"/>
          <w:szCs w:val="20"/>
        </w:rPr>
        <w:t xml:space="preserve"> et al.,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_Ref451501819 \h  \* MERGEFORMAT </w:instrText>
      </w:r>
      <w:r w:rsidRPr="00F02A12">
        <w:rPr>
          <w:sz w:val="20"/>
          <w:szCs w:val="20"/>
        </w:rPr>
      </w:r>
      <w:r w:rsidRPr="00F02A12">
        <w:rPr>
          <w:sz w:val="20"/>
          <w:szCs w:val="20"/>
        </w:rPr>
        <w:fldChar w:fldCharType="separate"/>
      </w:r>
      <w:r>
        <w:rPr>
          <w:sz w:val="20"/>
          <w:szCs w:val="20"/>
        </w:rPr>
        <w:t>1</w:t>
      </w:r>
      <w:r w:rsidRPr="00F02A12">
        <w:rPr>
          <w:sz w:val="20"/>
          <w:szCs w:val="20"/>
        </w:rPr>
        <w:fldChar w:fldCharType="end"/>
      </w:r>
      <w:r w:rsidRPr="00F02A12">
        <w:rPr>
          <w:sz w:val="20"/>
          <w:szCs w:val="20"/>
        </w:rPr>
        <w:t>.</w:t>
      </w:r>
    </w:p>
  </w:footnote>
  <w:footnote w:id="8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Stephen B. Presser, </w:t>
      </w:r>
      <w:r w:rsidRPr="00F02A12">
        <w:rPr>
          <w:i/>
          <w:sz w:val="20"/>
          <w:szCs w:val="20"/>
        </w:rPr>
        <w:t>Thwarting the Killing of the Corporation: Limited Liability, Democracy, and Economics</w:t>
      </w:r>
      <w:r w:rsidRPr="00F02A12">
        <w:rPr>
          <w:sz w:val="20"/>
          <w:szCs w:val="20"/>
        </w:rPr>
        <w:t xml:space="preserve">, </w:t>
      </w:r>
      <w:r w:rsidRPr="00F02A12">
        <w:rPr>
          <w:smallCaps/>
          <w:sz w:val="20"/>
          <w:szCs w:val="20"/>
        </w:rPr>
        <w:t>87 Nw. U. L. Rev.</w:t>
      </w:r>
      <w:r w:rsidRPr="00F02A12">
        <w:rPr>
          <w:sz w:val="20"/>
          <w:szCs w:val="20"/>
        </w:rPr>
        <w:t xml:space="preserve"> 148 (1992-1993).</w:t>
      </w:r>
    </w:p>
  </w:footnote>
  <w:footnote w:id="8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smallCaps/>
          <w:sz w:val="20"/>
          <w:szCs w:val="20"/>
        </w:rPr>
        <w:t>Morton J. Horwitz, The Transformation of American Law, 1870-1960</w:t>
      </w:r>
      <w:r w:rsidRPr="00F02A12">
        <w:rPr>
          <w:sz w:val="20"/>
          <w:szCs w:val="20"/>
        </w:rPr>
        <w:t xml:space="preserve"> 94 (“truly limited shareholder liability was far from the norm in America even as late as 1900”). </w:t>
      </w:r>
    </w:p>
  </w:footnote>
  <w:footnote w:id="90">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Double liability differs from unlimited liability in that shareholders are only liable up to the par value of their stock. Jonathan Macey &amp; Geoffrey P. Miller, </w:t>
      </w:r>
      <w:r w:rsidRPr="00F02A12">
        <w:rPr>
          <w:i/>
          <w:sz w:val="20"/>
          <w:szCs w:val="20"/>
        </w:rPr>
        <w:t>Double Liability of Bank Shareholders: History and Implications</w:t>
      </w:r>
      <w:r w:rsidRPr="00F02A12">
        <w:rPr>
          <w:sz w:val="20"/>
          <w:szCs w:val="20"/>
        </w:rPr>
        <w:t xml:space="preserve">, 27 </w:t>
      </w:r>
      <w:r w:rsidRPr="00F02A12">
        <w:rPr>
          <w:smallCaps/>
          <w:sz w:val="20"/>
          <w:szCs w:val="20"/>
        </w:rPr>
        <w:t>Wake Forest L. Rev.</w:t>
      </w:r>
      <w:r w:rsidRPr="00F02A12">
        <w:rPr>
          <w:sz w:val="20"/>
          <w:szCs w:val="20"/>
        </w:rPr>
        <w:t xml:space="preserve"> 31 (1992); Mark I. Weinstein, </w:t>
      </w:r>
      <w:r w:rsidRPr="00F02A12">
        <w:rPr>
          <w:i/>
          <w:sz w:val="20"/>
          <w:szCs w:val="20"/>
        </w:rPr>
        <w:t>Share Price Changes and the Arrival of Limited Liability in California</w:t>
      </w:r>
      <w:r w:rsidRPr="00F02A12">
        <w:rPr>
          <w:sz w:val="20"/>
          <w:szCs w:val="20"/>
        </w:rPr>
        <w:t xml:space="preserve">, 1 </w:t>
      </w:r>
      <w:r w:rsidRPr="00F02A12">
        <w:rPr>
          <w:smallCaps/>
          <w:sz w:val="20"/>
          <w:szCs w:val="20"/>
        </w:rPr>
        <w:t>J. Legal Stud</w:t>
      </w:r>
      <w:r w:rsidRPr="00F02A12">
        <w:rPr>
          <w:sz w:val="20"/>
          <w:szCs w:val="20"/>
        </w:rPr>
        <w:t>. (2013).</w:t>
      </w:r>
    </w:p>
  </w:footnote>
  <w:footnote w:id="91">
    <w:p w:rsidR="000373FF" w:rsidRPr="00F02A12" w:rsidRDefault="000373FF" w:rsidP="00F02A12">
      <w:pPr>
        <w:pStyle w:val="Textodenotaderodap"/>
        <w:jc w:val="both"/>
        <w:rPr>
          <w:rFonts w:cs="Times New Roman"/>
          <w:sz w:val="20"/>
          <w:szCs w:val="20"/>
        </w:rPr>
      </w:pPr>
      <w:r w:rsidRPr="00201CEE">
        <w:rPr>
          <w:rStyle w:val="Refdenotaderodap"/>
          <w:rFonts w:cs="Times New Roman"/>
          <w:sz w:val="20"/>
          <w:szCs w:val="20"/>
        </w:rPr>
        <w:footnoteRef/>
      </w:r>
      <w:r w:rsidRPr="00201CEE">
        <w:rPr>
          <w:rFonts w:cs="Times New Roman"/>
          <w:sz w:val="20"/>
          <w:szCs w:val="20"/>
        </w:rPr>
        <w:t xml:space="preserve"> </w:t>
      </w:r>
      <w:r w:rsidRPr="00201CEE">
        <w:rPr>
          <w:sz w:val="20"/>
          <w:szCs w:val="20"/>
        </w:rPr>
        <w:t xml:space="preserve">The royal charter establishing the first Bank of Brazil in 1808 specifically mentioned limited liability of shareholders, and so did subsequent special charters for other banks. </w:t>
      </w:r>
      <w:r w:rsidRPr="00201CEE">
        <w:rPr>
          <w:rFonts w:cs="Times New Roman"/>
          <w:i/>
          <w:sz w:val="20"/>
          <w:szCs w:val="20"/>
        </w:rPr>
        <w:t>See</w:t>
      </w:r>
      <w:r w:rsidRPr="00201CEE">
        <w:rPr>
          <w:rFonts w:cs="Times New Roman"/>
          <w:sz w:val="20"/>
          <w:szCs w:val="20"/>
        </w:rPr>
        <w:t xml:space="preserve">, </w:t>
      </w:r>
      <w:r w:rsidRPr="00201CEE">
        <w:rPr>
          <w:rFonts w:cs="Times New Roman"/>
          <w:i/>
          <w:sz w:val="20"/>
          <w:szCs w:val="20"/>
        </w:rPr>
        <w:t>e</w:t>
      </w:r>
      <w:r w:rsidRPr="00F02A12">
        <w:rPr>
          <w:rFonts w:cs="Times New Roman"/>
          <w:i/>
          <w:sz w:val="20"/>
          <w:szCs w:val="20"/>
        </w:rPr>
        <w:t>.g.</w:t>
      </w:r>
      <w:r w:rsidRPr="00F02A12">
        <w:rPr>
          <w:rFonts w:cs="Times New Roman"/>
          <w:sz w:val="20"/>
          <w:szCs w:val="20"/>
        </w:rPr>
        <w:t xml:space="preserve">, Decree 888 of Dec. 22, 1851, Art. </w:t>
      </w:r>
      <w:proofErr w:type="gramStart"/>
      <w:r w:rsidRPr="00F02A12">
        <w:rPr>
          <w:rFonts w:cs="Times New Roman"/>
          <w:sz w:val="20"/>
          <w:szCs w:val="20"/>
        </w:rPr>
        <w:t>10</w:t>
      </w:r>
      <w:proofErr w:type="gramEnd"/>
      <w:r w:rsidRPr="00F02A12">
        <w:rPr>
          <w:rFonts w:cs="Times New Roman"/>
          <w:sz w:val="20"/>
          <w:szCs w:val="20"/>
        </w:rPr>
        <w:t xml:space="preserve"> (Banco </w:t>
      </w:r>
      <w:proofErr w:type="spellStart"/>
      <w:r w:rsidRPr="00F02A12">
        <w:rPr>
          <w:rFonts w:cs="Times New Roman"/>
          <w:sz w:val="20"/>
          <w:szCs w:val="20"/>
        </w:rPr>
        <w:t>da</w:t>
      </w:r>
      <w:proofErr w:type="spellEnd"/>
      <w:r w:rsidRPr="00F02A12">
        <w:rPr>
          <w:rFonts w:cs="Times New Roman"/>
          <w:sz w:val="20"/>
          <w:szCs w:val="20"/>
        </w:rPr>
        <w:t xml:space="preserve"> </w:t>
      </w:r>
      <w:proofErr w:type="spellStart"/>
      <w:r w:rsidRPr="00F02A12">
        <w:rPr>
          <w:rFonts w:cs="Times New Roman"/>
          <w:sz w:val="20"/>
          <w:szCs w:val="20"/>
        </w:rPr>
        <w:t>Província</w:t>
      </w:r>
      <w:proofErr w:type="spellEnd"/>
      <w:r w:rsidRPr="00F02A12">
        <w:rPr>
          <w:rFonts w:cs="Times New Roman"/>
          <w:sz w:val="20"/>
          <w:szCs w:val="20"/>
        </w:rPr>
        <w:t xml:space="preserve"> de Pernambuco); Decree 4,390 of July 15, 1869, Art. </w:t>
      </w:r>
      <w:proofErr w:type="gramStart"/>
      <w:r w:rsidRPr="00F02A12">
        <w:rPr>
          <w:rFonts w:cs="Times New Roman"/>
          <w:sz w:val="20"/>
          <w:szCs w:val="20"/>
        </w:rPr>
        <w:t>30</w:t>
      </w:r>
      <w:proofErr w:type="gramEnd"/>
      <w:r w:rsidRPr="00F02A12">
        <w:rPr>
          <w:rFonts w:cs="Times New Roman"/>
          <w:sz w:val="20"/>
          <w:szCs w:val="20"/>
        </w:rPr>
        <w:t xml:space="preserve"> (Banco Commercial do </w:t>
      </w:r>
      <w:proofErr w:type="spellStart"/>
      <w:r w:rsidRPr="00F02A12">
        <w:rPr>
          <w:rFonts w:cs="Times New Roman"/>
          <w:sz w:val="20"/>
          <w:szCs w:val="20"/>
        </w:rPr>
        <w:t>Maranhão</w:t>
      </w:r>
      <w:proofErr w:type="spellEnd"/>
      <w:r w:rsidRPr="00F02A12">
        <w:rPr>
          <w:rFonts w:cs="Times New Roman"/>
          <w:sz w:val="20"/>
          <w:szCs w:val="20"/>
        </w:rPr>
        <w:t xml:space="preserve">). </w:t>
      </w:r>
    </w:p>
  </w:footnote>
  <w:footnote w:id="92">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Commercial Code, Art. 298. </w:t>
      </w:r>
    </w:p>
  </w:footnote>
  <w:footnote w:id="9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See </w:t>
      </w:r>
      <w:r w:rsidRPr="00F02A12">
        <w:rPr>
          <w:sz w:val="20"/>
          <w:szCs w:val="20"/>
        </w:rPr>
        <w:t xml:space="preserve">note </w:t>
      </w:r>
      <w:r w:rsidRPr="00F02A12">
        <w:rPr>
          <w:sz w:val="20"/>
          <w:szCs w:val="20"/>
        </w:rPr>
        <w:fldChar w:fldCharType="begin"/>
      </w:r>
      <w:r w:rsidRPr="00F02A12">
        <w:rPr>
          <w:sz w:val="20"/>
          <w:szCs w:val="20"/>
        </w:rPr>
        <w:instrText xml:space="preserve"> NOTEREF _Ref451786219 \h  \* MERGEFORMAT </w:instrText>
      </w:r>
      <w:r w:rsidRPr="00F02A12">
        <w:rPr>
          <w:sz w:val="20"/>
          <w:szCs w:val="20"/>
        </w:rPr>
      </w:r>
      <w:r w:rsidRPr="00F02A12">
        <w:rPr>
          <w:sz w:val="20"/>
          <w:szCs w:val="20"/>
        </w:rPr>
        <w:fldChar w:fldCharType="separate"/>
      </w:r>
      <w:r>
        <w:rPr>
          <w:sz w:val="20"/>
          <w:szCs w:val="20"/>
        </w:rPr>
        <w:t>95</w:t>
      </w:r>
      <w:r w:rsidRPr="00F02A12">
        <w:rPr>
          <w:sz w:val="20"/>
          <w:szCs w:val="20"/>
        </w:rPr>
        <w:fldChar w:fldCharType="end"/>
      </w:r>
      <w:r w:rsidRPr="00F02A12">
        <w:rPr>
          <w:sz w:val="20"/>
          <w:szCs w:val="20"/>
        </w:rPr>
        <w:t xml:space="preserve"> </w:t>
      </w:r>
      <w:r w:rsidRPr="00F02A12">
        <w:rPr>
          <w:i/>
          <w:sz w:val="20"/>
          <w:szCs w:val="20"/>
        </w:rPr>
        <w:t xml:space="preserve">infra </w:t>
      </w:r>
      <w:r w:rsidRPr="00F02A12">
        <w:rPr>
          <w:sz w:val="20"/>
          <w:szCs w:val="20"/>
        </w:rPr>
        <w:t>and accompanying text.</w:t>
      </w:r>
    </w:p>
  </w:footnote>
  <w:footnote w:id="94">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Rubens </w:t>
      </w:r>
      <w:proofErr w:type="spellStart"/>
      <w:r w:rsidRPr="00F02A12">
        <w:rPr>
          <w:sz w:val="20"/>
          <w:szCs w:val="20"/>
        </w:rPr>
        <w:t>Requião</w:t>
      </w:r>
      <w:proofErr w:type="spellEnd"/>
      <w:r w:rsidRPr="00F02A12">
        <w:rPr>
          <w:sz w:val="20"/>
          <w:szCs w:val="20"/>
        </w:rPr>
        <w:t xml:space="preserve">, </w:t>
      </w:r>
      <w:proofErr w:type="spellStart"/>
      <w:r w:rsidRPr="00F02A12">
        <w:rPr>
          <w:i/>
          <w:sz w:val="20"/>
          <w:szCs w:val="20"/>
        </w:rPr>
        <w:t>Abuso</w:t>
      </w:r>
      <w:proofErr w:type="spellEnd"/>
      <w:r w:rsidRPr="00F02A12">
        <w:rPr>
          <w:i/>
          <w:sz w:val="20"/>
          <w:szCs w:val="20"/>
        </w:rPr>
        <w:t xml:space="preserve"> de </w:t>
      </w:r>
      <w:proofErr w:type="spellStart"/>
      <w:r w:rsidRPr="00F02A12">
        <w:rPr>
          <w:i/>
          <w:sz w:val="20"/>
          <w:szCs w:val="20"/>
        </w:rPr>
        <w:t>Direito</w:t>
      </w:r>
      <w:proofErr w:type="spellEnd"/>
      <w:r w:rsidRPr="00F02A12">
        <w:rPr>
          <w:i/>
          <w:sz w:val="20"/>
          <w:szCs w:val="20"/>
        </w:rPr>
        <w:t xml:space="preserve"> e </w:t>
      </w:r>
      <w:proofErr w:type="spellStart"/>
      <w:r w:rsidRPr="00F02A12">
        <w:rPr>
          <w:i/>
          <w:sz w:val="20"/>
          <w:szCs w:val="20"/>
        </w:rPr>
        <w:t>Fraude</w:t>
      </w:r>
      <w:proofErr w:type="spellEnd"/>
      <w:r w:rsidRPr="00F02A12">
        <w:rPr>
          <w:i/>
          <w:sz w:val="20"/>
          <w:szCs w:val="20"/>
        </w:rPr>
        <w:t xml:space="preserve"> </w:t>
      </w:r>
      <w:proofErr w:type="spellStart"/>
      <w:r w:rsidRPr="00F02A12">
        <w:rPr>
          <w:i/>
          <w:sz w:val="20"/>
          <w:szCs w:val="20"/>
        </w:rPr>
        <w:t>através</w:t>
      </w:r>
      <w:proofErr w:type="spellEnd"/>
      <w:r w:rsidRPr="00F02A12">
        <w:rPr>
          <w:i/>
          <w:sz w:val="20"/>
          <w:szCs w:val="20"/>
        </w:rPr>
        <w:t xml:space="preserve"> de </w:t>
      </w:r>
      <w:proofErr w:type="spellStart"/>
      <w:r w:rsidRPr="00F02A12">
        <w:rPr>
          <w:i/>
          <w:sz w:val="20"/>
          <w:szCs w:val="20"/>
        </w:rPr>
        <w:t>Personalidade</w:t>
      </w:r>
      <w:proofErr w:type="spellEnd"/>
      <w:r w:rsidRPr="00F02A12">
        <w:rPr>
          <w:i/>
          <w:sz w:val="20"/>
          <w:szCs w:val="20"/>
        </w:rPr>
        <w:t xml:space="preserve"> </w:t>
      </w:r>
      <w:proofErr w:type="spellStart"/>
      <w:r w:rsidRPr="00F02A12">
        <w:rPr>
          <w:i/>
          <w:sz w:val="20"/>
          <w:szCs w:val="20"/>
        </w:rPr>
        <w:t>Jurídica</w:t>
      </w:r>
      <w:proofErr w:type="spellEnd"/>
      <w:r w:rsidRPr="00F02A12">
        <w:rPr>
          <w:i/>
          <w:sz w:val="20"/>
          <w:szCs w:val="20"/>
        </w:rPr>
        <w:t xml:space="preserve"> (Disregard Doctrine)</w:t>
      </w:r>
      <w:r w:rsidRPr="00F02A12">
        <w:rPr>
          <w:sz w:val="20"/>
          <w:szCs w:val="20"/>
        </w:rPr>
        <w:t xml:space="preserve">, 410 </w:t>
      </w:r>
      <w:proofErr w:type="spellStart"/>
      <w:r w:rsidRPr="00F02A12">
        <w:rPr>
          <w:smallCaps/>
          <w:sz w:val="20"/>
          <w:szCs w:val="20"/>
        </w:rPr>
        <w:t>Revista</w:t>
      </w:r>
      <w:proofErr w:type="spellEnd"/>
      <w:r w:rsidRPr="00F02A12">
        <w:rPr>
          <w:smallCaps/>
          <w:sz w:val="20"/>
          <w:szCs w:val="20"/>
        </w:rPr>
        <w:t xml:space="preserve"> dos </w:t>
      </w:r>
      <w:proofErr w:type="spellStart"/>
      <w:r w:rsidRPr="00F02A12">
        <w:rPr>
          <w:smallCaps/>
          <w:sz w:val="20"/>
          <w:szCs w:val="20"/>
        </w:rPr>
        <w:t>Tribunais</w:t>
      </w:r>
      <w:proofErr w:type="spellEnd"/>
      <w:r w:rsidRPr="00F02A12">
        <w:rPr>
          <w:sz w:val="20"/>
          <w:szCs w:val="20"/>
        </w:rPr>
        <w:t xml:space="preserve"> 13 (1969) (reviewing German and U.S. authorities and advocating for the application of the “disregard doctrine” in Brazil to cases of fraud and abuse</w:t>
      </w:r>
      <w:r>
        <w:rPr>
          <w:sz w:val="20"/>
          <w:szCs w:val="20"/>
        </w:rPr>
        <w:t>)</w:t>
      </w:r>
      <w:r w:rsidRPr="00F02A12">
        <w:rPr>
          <w:sz w:val="20"/>
          <w:szCs w:val="20"/>
        </w:rPr>
        <w:t xml:space="preserve">. For another highly influential defense of veil piercing based on lessons from foreign experience, </w:t>
      </w:r>
      <w:r w:rsidRPr="00F02A12">
        <w:rPr>
          <w:i/>
          <w:sz w:val="20"/>
          <w:szCs w:val="20"/>
        </w:rPr>
        <w:t xml:space="preserve">see </w:t>
      </w:r>
      <w:r w:rsidRPr="00F02A12">
        <w:rPr>
          <w:smallCaps/>
          <w:sz w:val="20"/>
          <w:szCs w:val="20"/>
        </w:rPr>
        <w:t xml:space="preserve">J. Lamartine Correa de Oliveira, A </w:t>
      </w:r>
      <w:proofErr w:type="spellStart"/>
      <w:r w:rsidRPr="00F02A12">
        <w:rPr>
          <w:smallCaps/>
          <w:sz w:val="20"/>
          <w:szCs w:val="20"/>
        </w:rPr>
        <w:t>Dupla</w:t>
      </w:r>
      <w:proofErr w:type="spellEnd"/>
      <w:r w:rsidRPr="00F02A12">
        <w:rPr>
          <w:smallCaps/>
          <w:sz w:val="20"/>
          <w:szCs w:val="20"/>
        </w:rPr>
        <w:t xml:space="preserve"> </w:t>
      </w:r>
      <w:proofErr w:type="spellStart"/>
      <w:r w:rsidRPr="00F02A12">
        <w:rPr>
          <w:smallCaps/>
          <w:sz w:val="20"/>
          <w:szCs w:val="20"/>
        </w:rPr>
        <w:t>Crise</w:t>
      </w:r>
      <w:proofErr w:type="spellEnd"/>
      <w:r w:rsidRPr="00F02A12">
        <w:rPr>
          <w:smallCaps/>
          <w:sz w:val="20"/>
          <w:szCs w:val="20"/>
        </w:rPr>
        <w:t xml:space="preserve"> da Pessoa </w:t>
      </w:r>
      <w:proofErr w:type="spellStart"/>
      <w:r w:rsidRPr="00F02A12">
        <w:rPr>
          <w:smallCaps/>
          <w:sz w:val="20"/>
          <w:szCs w:val="20"/>
        </w:rPr>
        <w:t>Jurídica</w:t>
      </w:r>
      <w:proofErr w:type="spellEnd"/>
      <w:r w:rsidRPr="00F02A12">
        <w:rPr>
          <w:sz w:val="20"/>
          <w:szCs w:val="20"/>
        </w:rPr>
        <w:t xml:space="preserve"> (1979).</w:t>
      </w:r>
    </w:p>
  </w:footnote>
  <w:footnote w:id="95">
    <w:p w:rsidR="000373FF" w:rsidRPr="00F02A12" w:rsidRDefault="000373FF" w:rsidP="00F02A12">
      <w:pPr>
        <w:pStyle w:val="Textodenotaderodap"/>
        <w:jc w:val="both"/>
        <w:rPr>
          <w:rFonts w:cs="Times New Roman"/>
          <w:sz w:val="20"/>
          <w:szCs w:val="20"/>
          <w:lang w:val="pt-BR"/>
        </w:rPr>
      </w:pPr>
      <w:r w:rsidRPr="00F02A12">
        <w:rPr>
          <w:rStyle w:val="Refdenotaderodap"/>
          <w:rFonts w:cs="Times New Roman"/>
          <w:sz w:val="20"/>
          <w:szCs w:val="20"/>
        </w:rPr>
        <w:footnoteRef/>
      </w:r>
      <w:r w:rsidRPr="00F02A12">
        <w:rPr>
          <w:rFonts w:cs="Times New Roman"/>
          <w:sz w:val="20"/>
          <w:szCs w:val="20"/>
          <w:lang w:val="pt-BR"/>
        </w:rPr>
        <w:t xml:space="preserve"> </w:t>
      </w:r>
      <w:r w:rsidRPr="00F02A12">
        <w:rPr>
          <w:rFonts w:cs="Times New Roman"/>
          <w:smallCaps/>
          <w:sz w:val="20"/>
          <w:szCs w:val="20"/>
          <w:lang w:val="pt-BR"/>
        </w:rPr>
        <w:t xml:space="preserve">Bruno </w:t>
      </w:r>
      <w:proofErr w:type="spellStart"/>
      <w:r w:rsidRPr="00F02A12">
        <w:rPr>
          <w:rFonts w:cs="Times New Roman"/>
          <w:smallCaps/>
          <w:sz w:val="20"/>
          <w:szCs w:val="20"/>
          <w:lang w:val="pt-BR"/>
        </w:rPr>
        <w:t>Meyerhof</w:t>
      </w:r>
      <w:proofErr w:type="spellEnd"/>
      <w:r w:rsidRPr="00F02A12">
        <w:rPr>
          <w:rFonts w:cs="Times New Roman"/>
          <w:smallCaps/>
          <w:sz w:val="20"/>
          <w:szCs w:val="20"/>
          <w:lang w:val="pt-BR"/>
        </w:rPr>
        <w:t xml:space="preserve"> </w:t>
      </w:r>
      <w:proofErr w:type="spellStart"/>
      <w:r w:rsidRPr="00F02A12">
        <w:rPr>
          <w:rFonts w:cs="Times New Roman"/>
          <w:smallCaps/>
          <w:sz w:val="20"/>
          <w:szCs w:val="20"/>
          <w:lang w:val="pt-BR"/>
        </w:rPr>
        <w:t>Salama</w:t>
      </w:r>
      <w:proofErr w:type="spellEnd"/>
      <w:r w:rsidRPr="00F02A12">
        <w:rPr>
          <w:rFonts w:cs="Times New Roman"/>
          <w:smallCaps/>
          <w:sz w:val="20"/>
          <w:szCs w:val="20"/>
          <w:lang w:val="pt-BR"/>
        </w:rPr>
        <w:t>, O Fim da Responsabilidade Limitada: História, Direito e Economia (</w:t>
      </w:r>
      <w:r w:rsidRPr="00F02A12">
        <w:rPr>
          <w:rFonts w:cs="Times New Roman"/>
          <w:sz w:val="20"/>
          <w:szCs w:val="20"/>
          <w:lang w:val="pt-BR"/>
        </w:rPr>
        <w:t xml:space="preserve">2014). </w:t>
      </w:r>
    </w:p>
  </w:footnote>
  <w:footnote w:id="9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Jonathan Macey &amp; Joshua Mitts, </w:t>
      </w:r>
      <w:r w:rsidRPr="00F02A12">
        <w:rPr>
          <w:i/>
          <w:sz w:val="20"/>
          <w:szCs w:val="20"/>
        </w:rPr>
        <w:t>Finding Order in the Morass: The Three Real Justifications for Piercing the Corporate Veil</w:t>
      </w:r>
      <w:r w:rsidRPr="00F02A12">
        <w:rPr>
          <w:sz w:val="20"/>
          <w:szCs w:val="20"/>
        </w:rPr>
        <w:t xml:space="preserve">, 100 </w:t>
      </w:r>
      <w:r w:rsidRPr="00F02A12">
        <w:rPr>
          <w:smallCaps/>
          <w:sz w:val="20"/>
          <w:szCs w:val="20"/>
        </w:rPr>
        <w:t>Cornell L. Rev.</w:t>
      </w:r>
      <w:r w:rsidRPr="00F02A12">
        <w:rPr>
          <w:sz w:val="20"/>
          <w:szCs w:val="20"/>
        </w:rPr>
        <w:t xml:space="preserve"> 99 (2014) (describing the apparently incoherent stance of U.S. courts in applying the traditional doctrinal grounds for veil piercing and proposing an alternative taxonomy). </w:t>
      </w:r>
    </w:p>
  </w:footnote>
  <w:footnote w:id="9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Robert B. Thompson, </w:t>
      </w:r>
      <w:r w:rsidRPr="00F02A12">
        <w:rPr>
          <w:i/>
          <w:sz w:val="20"/>
          <w:szCs w:val="20"/>
        </w:rPr>
        <w:t>Piercing the Corporate Veil: An Empirical Study</w:t>
      </w:r>
      <w:r w:rsidRPr="00F02A12">
        <w:rPr>
          <w:sz w:val="20"/>
          <w:szCs w:val="20"/>
        </w:rPr>
        <w:t xml:space="preserve">, 76 </w:t>
      </w:r>
      <w:r w:rsidRPr="00F02A12">
        <w:rPr>
          <w:smallCaps/>
          <w:sz w:val="20"/>
          <w:szCs w:val="20"/>
        </w:rPr>
        <w:t>Cornell L. Rev.</w:t>
      </w:r>
      <w:r w:rsidRPr="00F02A12">
        <w:rPr>
          <w:sz w:val="20"/>
          <w:szCs w:val="20"/>
        </w:rPr>
        <w:t xml:space="preserve"> 1036, 1036 (1991) (“Piercing the corporate veil is the most litigated issue in corporate law”). </w:t>
      </w:r>
      <w:proofErr w:type="gramStart"/>
      <w:r w:rsidRPr="00F02A12">
        <w:rPr>
          <w:i/>
          <w:sz w:val="20"/>
          <w:szCs w:val="20"/>
        </w:rPr>
        <w:t>But</w:t>
      </w:r>
      <w:proofErr w:type="gramEnd"/>
      <w:r w:rsidRPr="00F02A12">
        <w:rPr>
          <w:i/>
          <w:sz w:val="20"/>
          <w:szCs w:val="20"/>
        </w:rPr>
        <w:t xml:space="preserve"> see</w:t>
      </w:r>
      <w:r w:rsidRPr="00F02A12">
        <w:rPr>
          <w:sz w:val="20"/>
          <w:szCs w:val="20"/>
        </w:rPr>
        <w:t xml:space="preserve"> Peter Oh, </w:t>
      </w:r>
      <w:r w:rsidRPr="00F02A12">
        <w:rPr>
          <w:i/>
          <w:sz w:val="20"/>
          <w:szCs w:val="20"/>
        </w:rPr>
        <w:t>Veil Piercing</w:t>
      </w:r>
      <w:r w:rsidRPr="00F02A12">
        <w:rPr>
          <w:sz w:val="20"/>
          <w:szCs w:val="20"/>
        </w:rPr>
        <w:t xml:space="preserve">, 89 </w:t>
      </w:r>
      <w:r w:rsidRPr="00F02A12">
        <w:rPr>
          <w:smallCaps/>
          <w:sz w:val="20"/>
          <w:szCs w:val="20"/>
        </w:rPr>
        <w:t>Tex. L. Rev.</w:t>
      </w:r>
      <w:r w:rsidRPr="00F02A12">
        <w:rPr>
          <w:sz w:val="20"/>
          <w:szCs w:val="20"/>
        </w:rPr>
        <w:t xml:space="preserve"> 81, 91 (2010) (finding that “[v]</w:t>
      </w:r>
      <w:proofErr w:type="spellStart"/>
      <w:r w:rsidRPr="00F02A12">
        <w:rPr>
          <w:sz w:val="20"/>
          <w:szCs w:val="20"/>
        </w:rPr>
        <w:t>eil</w:t>
      </w:r>
      <w:proofErr w:type="spellEnd"/>
      <w:r w:rsidRPr="00F02A12">
        <w:rPr>
          <w:sz w:val="20"/>
          <w:szCs w:val="20"/>
        </w:rPr>
        <w:t xml:space="preserve">-piercing is </w:t>
      </w:r>
      <w:proofErr w:type="spellStart"/>
      <w:r w:rsidRPr="00F02A12">
        <w:rPr>
          <w:sz w:val="20"/>
          <w:szCs w:val="20"/>
        </w:rPr>
        <w:t>misdubbed</w:t>
      </w:r>
      <w:proofErr w:type="spellEnd"/>
      <w:r w:rsidRPr="00F02A12">
        <w:rPr>
          <w:sz w:val="20"/>
          <w:szCs w:val="20"/>
        </w:rPr>
        <w:t xml:space="preserve"> the most litigated issue in corporate law”). While veil-piercing cases are numerous, claims on the liability of directors and officers and dissolutions appear to be more common. </w:t>
      </w:r>
      <w:r w:rsidRPr="00F02A12">
        <w:rPr>
          <w:i/>
          <w:sz w:val="20"/>
          <w:szCs w:val="20"/>
        </w:rPr>
        <w:t>Id.</w:t>
      </w:r>
    </w:p>
  </w:footnote>
  <w:footnote w:id="98">
    <w:p w:rsidR="000373FF" w:rsidRPr="00C21C6B" w:rsidRDefault="000373FF" w:rsidP="00F02A12">
      <w:pPr>
        <w:pStyle w:val="Textodenotaderodap"/>
        <w:jc w:val="both"/>
        <w:rPr>
          <w:sz w:val="20"/>
          <w:szCs w:val="20"/>
        </w:rPr>
      </w:pPr>
      <w:r w:rsidRPr="00F02A12">
        <w:rPr>
          <w:rStyle w:val="Refdenotaderodap"/>
          <w:sz w:val="20"/>
          <w:szCs w:val="20"/>
        </w:rPr>
        <w:footnoteRef/>
      </w:r>
      <w:r w:rsidRPr="00C21C6B">
        <w:rPr>
          <w:sz w:val="20"/>
          <w:szCs w:val="20"/>
        </w:rPr>
        <w:t xml:space="preserve"> </w:t>
      </w:r>
      <w:r w:rsidRPr="00F02A12">
        <w:rPr>
          <w:sz w:val="20"/>
          <w:szCs w:val="20"/>
        </w:rPr>
        <w:t xml:space="preserve">Stephen M. Bainbridge, </w:t>
      </w:r>
      <w:r w:rsidRPr="00F02A12">
        <w:rPr>
          <w:i/>
          <w:sz w:val="20"/>
          <w:szCs w:val="20"/>
        </w:rPr>
        <w:t>Abolishing Veil Piercing</w:t>
      </w:r>
      <w:r w:rsidRPr="00F02A12">
        <w:rPr>
          <w:sz w:val="20"/>
          <w:szCs w:val="20"/>
        </w:rPr>
        <w:t>, 2</w:t>
      </w:r>
      <w:r w:rsidRPr="00F02A12">
        <w:rPr>
          <w:smallCaps/>
          <w:sz w:val="20"/>
          <w:szCs w:val="20"/>
        </w:rPr>
        <w:t>6 J. Corp. L</w:t>
      </w:r>
      <w:r w:rsidRPr="00F02A12">
        <w:rPr>
          <w:sz w:val="20"/>
          <w:szCs w:val="20"/>
        </w:rPr>
        <w:t>. 479 (2000-2001)</w:t>
      </w:r>
      <w:r w:rsidRPr="00C21C6B">
        <w:rPr>
          <w:sz w:val="20"/>
          <w:szCs w:val="20"/>
        </w:rPr>
        <w:t xml:space="preserve">; Presser, </w:t>
      </w:r>
      <w:r w:rsidRPr="00C21C6B">
        <w:rPr>
          <w:i/>
          <w:sz w:val="20"/>
          <w:szCs w:val="20"/>
        </w:rPr>
        <w:t xml:space="preserve">supra </w:t>
      </w:r>
      <w:r w:rsidRPr="00C21C6B">
        <w:rPr>
          <w:sz w:val="20"/>
          <w:szCs w:val="20"/>
        </w:rPr>
        <w:t xml:space="preserve">note </w:t>
      </w:r>
      <w:r w:rsidRPr="00F02A12">
        <w:rPr>
          <w:sz w:val="20"/>
          <w:szCs w:val="20"/>
        </w:rPr>
        <w:fldChar w:fldCharType="begin"/>
      </w:r>
      <w:r w:rsidRPr="00C21C6B">
        <w:rPr>
          <w:sz w:val="20"/>
          <w:szCs w:val="20"/>
        </w:rPr>
        <w:instrText xml:space="preserve"> NOTEREF _Ref456086222 \h  \* MERGEFORMAT </w:instrText>
      </w:r>
      <w:r w:rsidRPr="00F02A12">
        <w:rPr>
          <w:sz w:val="20"/>
          <w:szCs w:val="20"/>
        </w:rPr>
      </w:r>
      <w:r w:rsidRPr="00F02A12">
        <w:rPr>
          <w:sz w:val="20"/>
          <w:szCs w:val="20"/>
        </w:rPr>
        <w:fldChar w:fldCharType="separate"/>
      </w:r>
      <w:r>
        <w:rPr>
          <w:sz w:val="20"/>
          <w:szCs w:val="20"/>
        </w:rPr>
        <w:t>88</w:t>
      </w:r>
      <w:r w:rsidRPr="00F02A12">
        <w:rPr>
          <w:sz w:val="20"/>
          <w:szCs w:val="20"/>
        </w:rPr>
        <w:fldChar w:fldCharType="end"/>
      </w:r>
      <w:r w:rsidRPr="00C21C6B">
        <w:rPr>
          <w:sz w:val="20"/>
          <w:szCs w:val="20"/>
        </w:rPr>
        <w:t>.</w:t>
      </w:r>
    </w:p>
  </w:footnote>
  <w:footnote w:id="9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Robert B. Thompson, </w:t>
      </w:r>
      <w:r w:rsidRPr="00F02A12">
        <w:rPr>
          <w:i/>
          <w:sz w:val="20"/>
          <w:szCs w:val="20"/>
        </w:rPr>
        <w:t>Piercing the Veil: Is the Common Law the Problem</w:t>
      </w:r>
      <w:proofErr w:type="gramStart"/>
      <w:r w:rsidRPr="00F02A12">
        <w:rPr>
          <w:i/>
          <w:sz w:val="20"/>
          <w:szCs w:val="20"/>
        </w:rPr>
        <w:t>?</w:t>
      </w:r>
      <w:r w:rsidRPr="00F02A12">
        <w:rPr>
          <w:sz w:val="20"/>
          <w:szCs w:val="20"/>
        </w:rPr>
        <w:t>,</w:t>
      </w:r>
      <w:proofErr w:type="gramEnd"/>
      <w:r w:rsidRPr="00F02A12">
        <w:rPr>
          <w:sz w:val="20"/>
          <w:szCs w:val="20"/>
        </w:rPr>
        <w:t xml:space="preserve"> 37 </w:t>
      </w:r>
      <w:r w:rsidRPr="00F02A12">
        <w:rPr>
          <w:smallCaps/>
          <w:sz w:val="20"/>
          <w:szCs w:val="20"/>
        </w:rPr>
        <w:t>Conn. L. Rev. 619</w:t>
      </w:r>
      <w:r w:rsidRPr="00F02A12">
        <w:rPr>
          <w:sz w:val="20"/>
          <w:szCs w:val="20"/>
        </w:rPr>
        <w:t xml:space="preserve"> (2004-2005). Scholars have since shown that the rate of veil piercing is arguably greater in China than in the United States. Hui Huang, </w:t>
      </w:r>
      <w:r w:rsidRPr="00F02A12">
        <w:rPr>
          <w:i/>
          <w:sz w:val="20"/>
          <w:szCs w:val="20"/>
        </w:rPr>
        <w:t>Piercing the Corporate Veil China: Where Is It Now and Where Is It Heading?</w:t>
      </w:r>
      <w:proofErr w:type="gramStart"/>
      <w:r w:rsidRPr="00F02A12">
        <w:rPr>
          <w:sz w:val="20"/>
          <w:szCs w:val="20"/>
        </w:rPr>
        <w:t xml:space="preserve">, </w:t>
      </w:r>
      <w:r w:rsidRPr="00F02A12">
        <w:rPr>
          <w:i/>
          <w:sz w:val="20"/>
          <w:szCs w:val="20"/>
        </w:rPr>
        <w:t xml:space="preserve"> </w:t>
      </w:r>
      <w:r w:rsidRPr="00F02A12">
        <w:rPr>
          <w:sz w:val="20"/>
          <w:szCs w:val="20"/>
        </w:rPr>
        <w:t>60</w:t>
      </w:r>
      <w:proofErr w:type="gramEnd"/>
      <w:r w:rsidRPr="00F02A12">
        <w:rPr>
          <w:sz w:val="20"/>
          <w:szCs w:val="20"/>
        </w:rPr>
        <w:t xml:space="preserve"> </w:t>
      </w:r>
      <w:r w:rsidRPr="00F02A12">
        <w:rPr>
          <w:smallCaps/>
          <w:sz w:val="20"/>
          <w:szCs w:val="20"/>
        </w:rPr>
        <w:t>Am. J. Comp. L</w:t>
      </w:r>
      <w:r w:rsidRPr="00F02A12">
        <w:rPr>
          <w:sz w:val="20"/>
          <w:szCs w:val="20"/>
        </w:rPr>
        <w:t>. 743, 774 (2012)</w:t>
      </w:r>
      <w:r w:rsidRPr="00F02A12">
        <w:rPr>
          <w:i/>
          <w:sz w:val="20"/>
          <w:szCs w:val="20"/>
        </w:rPr>
        <w:t xml:space="preserve"> </w:t>
      </w:r>
      <w:r w:rsidRPr="00F02A12">
        <w:rPr>
          <w:sz w:val="20"/>
          <w:szCs w:val="20"/>
        </w:rPr>
        <w:t xml:space="preserve">(finding that Chinese courts pierced the veil in 63% of the 99 cases adjudicate since the 2005 statute, “a rate significantly higher than in the United States, the United Kingdom and Australia”).   </w:t>
      </w:r>
    </w:p>
  </w:footnote>
  <w:footnote w:id="100">
    <w:p w:rsidR="000373FF" w:rsidRPr="00F02A12" w:rsidRDefault="000373FF" w:rsidP="00201CEE">
      <w:pPr>
        <w:pStyle w:val="Textodenotaderodap"/>
        <w:jc w:val="both"/>
        <w:rPr>
          <w:sz w:val="20"/>
          <w:szCs w:val="20"/>
        </w:rPr>
      </w:pPr>
      <w:r w:rsidRPr="00F02A12">
        <w:rPr>
          <w:rStyle w:val="Refdenotaderodap"/>
          <w:sz w:val="20"/>
          <w:szCs w:val="20"/>
        </w:rPr>
        <w:footnoteRef/>
      </w:r>
      <w:r w:rsidRPr="00F02A12">
        <w:rPr>
          <w:sz w:val="20"/>
          <w:szCs w:val="20"/>
        </w:rPr>
        <w:t xml:space="preserve"> Macey &amp; Mitts, </w:t>
      </w:r>
      <w:r w:rsidRPr="00F02A12">
        <w:rPr>
          <w:i/>
          <w:sz w:val="20"/>
          <w:szCs w:val="20"/>
        </w:rPr>
        <w:t xml:space="preserve">supra </w:t>
      </w:r>
      <w:r w:rsidRPr="00F02A12">
        <w:rPr>
          <w:sz w:val="20"/>
          <w:szCs w:val="20"/>
        </w:rPr>
        <w:t xml:space="preserve">note </w:t>
      </w:r>
      <w:r w:rsidRPr="00F02A12">
        <w:rPr>
          <w:sz w:val="20"/>
          <w:szCs w:val="20"/>
          <w:lang w:val="pt-BR"/>
        </w:rPr>
        <w:fldChar w:fldCharType="begin"/>
      </w:r>
      <w:r w:rsidRPr="00F02A12">
        <w:rPr>
          <w:sz w:val="20"/>
          <w:szCs w:val="20"/>
        </w:rPr>
        <w:instrText xml:space="preserve"> NOTEREF _Ref456624944 \h  \* MERGEFORMAT </w:instrText>
      </w:r>
      <w:r w:rsidRPr="00F02A12">
        <w:rPr>
          <w:sz w:val="20"/>
          <w:szCs w:val="20"/>
          <w:lang w:val="pt-BR"/>
        </w:rPr>
      </w:r>
      <w:r w:rsidRPr="00F02A12">
        <w:rPr>
          <w:sz w:val="20"/>
          <w:szCs w:val="20"/>
          <w:lang w:val="pt-BR"/>
        </w:rPr>
        <w:fldChar w:fldCharType="separate"/>
      </w:r>
      <w:r>
        <w:rPr>
          <w:sz w:val="20"/>
          <w:szCs w:val="20"/>
        </w:rPr>
        <w:t>96</w:t>
      </w:r>
      <w:r w:rsidRPr="00F02A12">
        <w:rPr>
          <w:sz w:val="20"/>
          <w:szCs w:val="20"/>
          <w:lang w:val="pt-BR"/>
        </w:rPr>
        <w:fldChar w:fldCharType="end"/>
      </w:r>
      <w:r w:rsidRPr="00F02A12">
        <w:rPr>
          <w:sz w:val="20"/>
          <w:szCs w:val="20"/>
        </w:rPr>
        <w:t xml:space="preserve">, at 141; </w:t>
      </w:r>
      <w:proofErr w:type="gramStart"/>
      <w:r w:rsidRPr="00F02A12">
        <w:rPr>
          <w:sz w:val="20"/>
          <w:szCs w:val="20"/>
        </w:rPr>
        <w:t>Oh</w:t>
      </w:r>
      <w:proofErr w:type="gramEnd"/>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_Ref456625014 \h  \* MERGEFORMAT </w:instrText>
      </w:r>
      <w:r w:rsidRPr="00F02A12">
        <w:rPr>
          <w:sz w:val="20"/>
          <w:szCs w:val="20"/>
        </w:rPr>
      </w:r>
      <w:r w:rsidRPr="00F02A12">
        <w:rPr>
          <w:sz w:val="20"/>
          <w:szCs w:val="20"/>
        </w:rPr>
        <w:fldChar w:fldCharType="separate"/>
      </w:r>
      <w:r>
        <w:rPr>
          <w:sz w:val="20"/>
          <w:szCs w:val="20"/>
        </w:rPr>
        <w:t>97</w:t>
      </w:r>
      <w:r w:rsidRPr="00F02A12">
        <w:rPr>
          <w:sz w:val="20"/>
          <w:szCs w:val="20"/>
        </w:rPr>
        <w:fldChar w:fldCharType="end"/>
      </w:r>
      <w:r w:rsidRPr="00F02A12">
        <w:rPr>
          <w:sz w:val="20"/>
          <w:szCs w:val="20"/>
        </w:rPr>
        <w:t>, at 100.</w:t>
      </w:r>
    </w:p>
  </w:footnote>
  <w:footnote w:id="10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I conducted this search in July 2016 utilizing the single search expression “</w:t>
      </w:r>
      <w:proofErr w:type="spellStart"/>
      <w:r w:rsidRPr="00F02A12">
        <w:rPr>
          <w:sz w:val="20"/>
          <w:szCs w:val="20"/>
        </w:rPr>
        <w:t>desconsideração</w:t>
      </w:r>
      <w:proofErr w:type="spellEnd"/>
      <w:r w:rsidRPr="00F02A12">
        <w:rPr>
          <w:sz w:val="20"/>
          <w:szCs w:val="20"/>
        </w:rPr>
        <w:t xml:space="preserve"> da </w:t>
      </w:r>
      <w:proofErr w:type="spellStart"/>
      <w:r w:rsidRPr="00F02A12">
        <w:rPr>
          <w:sz w:val="20"/>
          <w:szCs w:val="20"/>
        </w:rPr>
        <w:t>personalidade</w:t>
      </w:r>
      <w:proofErr w:type="spellEnd"/>
      <w:r w:rsidRPr="00F02A12">
        <w:rPr>
          <w:sz w:val="20"/>
          <w:szCs w:val="20"/>
        </w:rPr>
        <w:t xml:space="preserve"> </w:t>
      </w:r>
      <w:proofErr w:type="spellStart"/>
      <w:r w:rsidRPr="00F02A12">
        <w:rPr>
          <w:sz w:val="20"/>
          <w:szCs w:val="20"/>
        </w:rPr>
        <w:t>jurídica</w:t>
      </w:r>
      <w:proofErr w:type="spellEnd"/>
      <w:r w:rsidRPr="00F02A12">
        <w:rPr>
          <w:sz w:val="20"/>
          <w:szCs w:val="20"/>
        </w:rPr>
        <w:t xml:space="preserve">” (disregard of legal personality) in order to avoid duplicative findings. This is likely to underestimate the number of decisions, especially because not all decisions </w:t>
      </w:r>
      <w:proofErr w:type="gramStart"/>
      <w:r w:rsidRPr="00F02A12">
        <w:rPr>
          <w:sz w:val="20"/>
          <w:szCs w:val="20"/>
        </w:rPr>
        <w:t>are published</w:t>
      </w:r>
      <w:proofErr w:type="gramEnd"/>
      <w:r w:rsidRPr="00F02A12">
        <w:rPr>
          <w:sz w:val="20"/>
          <w:szCs w:val="20"/>
        </w:rPr>
        <w:t xml:space="preserve"> on the courts’ website. </w:t>
      </w:r>
    </w:p>
  </w:footnote>
  <w:footnote w:id="102">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Decree-Law 5,452, May 1, 1943. </w:t>
      </w:r>
    </w:p>
  </w:footnote>
  <w:footnote w:id="10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As discussed below, the conventional view is that the elimination of asset partitioning within a corporate group is far less controversial than outside of it. </w:t>
      </w:r>
      <w:r w:rsidRPr="00F02A12">
        <w:rPr>
          <w:i/>
          <w:sz w:val="20"/>
          <w:szCs w:val="20"/>
        </w:rPr>
        <w:t xml:space="preserve">See </w:t>
      </w:r>
      <w:r w:rsidRPr="00F02A12">
        <w:rPr>
          <w:sz w:val="20"/>
          <w:szCs w:val="20"/>
        </w:rPr>
        <w:t xml:space="preserve">notes </w:t>
      </w:r>
      <w:r w:rsidRPr="00F02A12">
        <w:rPr>
          <w:sz w:val="20"/>
          <w:szCs w:val="20"/>
        </w:rPr>
        <w:fldChar w:fldCharType="begin"/>
      </w:r>
      <w:r w:rsidRPr="00F02A12">
        <w:rPr>
          <w:sz w:val="20"/>
          <w:szCs w:val="20"/>
        </w:rPr>
        <w:instrText xml:space="preserve"> NOTEREF _Ref452991012 \h  \* MERGEFORMAT </w:instrText>
      </w:r>
      <w:r w:rsidRPr="00F02A12">
        <w:rPr>
          <w:sz w:val="20"/>
          <w:szCs w:val="20"/>
        </w:rPr>
      </w:r>
      <w:r w:rsidRPr="00F02A12">
        <w:rPr>
          <w:sz w:val="20"/>
          <w:szCs w:val="20"/>
        </w:rPr>
        <w:fldChar w:fldCharType="separate"/>
      </w:r>
      <w:r>
        <w:rPr>
          <w:sz w:val="20"/>
          <w:szCs w:val="20"/>
        </w:rPr>
        <w:t>205</w:t>
      </w:r>
      <w:r w:rsidRPr="00F02A12">
        <w:rPr>
          <w:sz w:val="20"/>
          <w:szCs w:val="20"/>
        </w:rPr>
        <w:fldChar w:fldCharType="end"/>
      </w:r>
      <w:r w:rsidRPr="00F02A12">
        <w:rPr>
          <w:sz w:val="20"/>
          <w:szCs w:val="20"/>
        </w:rPr>
        <w:t xml:space="preserve"> </w:t>
      </w:r>
      <w:r w:rsidRPr="00F02A12">
        <w:rPr>
          <w:i/>
          <w:sz w:val="20"/>
          <w:szCs w:val="20"/>
        </w:rPr>
        <w:t xml:space="preserve">infra </w:t>
      </w:r>
      <w:r w:rsidRPr="00F02A12">
        <w:rPr>
          <w:sz w:val="20"/>
          <w:szCs w:val="20"/>
        </w:rPr>
        <w:t>and accompanying text.</w:t>
      </w:r>
    </w:p>
  </w:footnote>
  <w:footnote w:id="104">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proofErr w:type="spellStart"/>
      <w:r w:rsidRPr="00F02A12">
        <w:rPr>
          <w:rFonts w:cs="Times New Roman"/>
          <w:smallCaps/>
          <w:sz w:val="20"/>
          <w:szCs w:val="20"/>
        </w:rPr>
        <w:t>Salama</w:t>
      </w:r>
      <w:proofErr w:type="spellEnd"/>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_Ref451786219 \h  \* MERGEFORMAT </w:instrText>
      </w:r>
      <w:r w:rsidRPr="00F02A12">
        <w:rPr>
          <w:sz w:val="20"/>
          <w:szCs w:val="20"/>
        </w:rPr>
      </w:r>
      <w:r w:rsidRPr="00F02A12">
        <w:rPr>
          <w:sz w:val="20"/>
          <w:szCs w:val="20"/>
        </w:rPr>
        <w:fldChar w:fldCharType="separate"/>
      </w:r>
      <w:r>
        <w:rPr>
          <w:sz w:val="20"/>
          <w:szCs w:val="20"/>
        </w:rPr>
        <w:t>95</w:t>
      </w:r>
      <w:r w:rsidRPr="00F02A12">
        <w:rPr>
          <w:sz w:val="20"/>
          <w:szCs w:val="20"/>
        </w:rPr>
        <w:fldChar w:fldCharType="end"/>
      </w:r>
      <w:r w:rsidRPr="00F02A12">
        <w:rPr>
          <w:sz w:val="20"/>
          <w:szCs w:val="20"/>
        </w:rPr>
        <w:t>, at 156.</w:t>
      </w:r>
    </w:p>
  </w:footnote>
  <w:footnote w:id="105">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See</w:t>
      </w:r>
      <w:r w:rsidRPr="00F02A12">
        <w:rPr>
          <w:i/>
          <w:smallCaps/>
          <w:sz w:val="20"/>
          <w:szCs w:val="20"/>
        </w:rPr>
        <w:t xml:space="preserve"> </w:t>
      </w:r>
      <w:r w:rsidRPr="00F02A12">
        <w:rPr>
          <w:smallCaps/>
          <w:sz w:val="20"/>
          <w:szCs w:val="20"/>
        </w:rPr>
        <w:t>FGV-</w:t>
      </w:r>
      <w:proofErr w:type="spellStart"/>
      <w:r w:rsidRPr="00F02A12">
        <w:rPr>
          <w:smallCaps/>
          <w:sz w:val="20"/>
          <w:szCs w:val="20"/>
        </w:rPr>
        <w:t>GVCepe</w:t>
      </w:r>
      <w:proofErr w:type="spellEnd"/>
      <w:r w:rsidRPr="00F02A12">
        <w:rPr>
          <w:smallCaps/>
          <w:sz w:val="20"/>
          <w:szCs w:val="20"/>
        </w:rPr>
        <w:t xml:space="preserve">, Panorama da </w:t>
      </w:r>
      <w:proofErr w:type="spellStart"/>
      <w:r w:rsidRPr="00F02A12">
        <w:rPr>
          <w:smallCaps/>
          <w:sz w:val="20"/>
          <w:szCs w:val="20"/>
        </w:rPr>
        <w:t>Indústria</w:t>
      </w:r>
      <w:proofErr w:type="spellEnd"/>
      <w:r w:rsidRPr="00F02A12">
        <w:rPr>
          <w:smallCaps/>
          <w:sz w:val="20"/>
          <w:szCs w:val="20"/>
        </w:rPr>
        <w:t xml:space="preserve"> </w:t>
      </w:r>
      <w:proofErr w:type="spellStart"/>
      <w:r w:rsidRPr="00F02A12">
        <w:rPr>
          <w:smallCaps/>
          <w:sz w:val="20"/>
          <w:szCs w:val="20"/>
        </w:rPr>
        <w:t>Brasileira</w:t>
      </w:r>
      <w:proofErr w:type="spellEnd"/>
      <w:r w:rsidRPr="00F02A12">
        <w:rPr>
          <w:smallCaps/>
          <w:sz w:val="20"/>
          <w:szCs w:val="20"/>
        </w:rPr>
        <w:t xml:space="preserve"> de Private Equity e de Venture Capital 38 </w:t>
      </w:r>
      <w:r w:rsidRPr="00F02A12">
        <w:rPr>
          <w:sz w:val="20"/>
          <w:szCs w:val="20"/>
        </w:rPr>
        <w:t xml:space="preserve">[Panorama of Brazil’s Private Equity and Venture Capital Industry] (2008) (citing veil piercing as one of the emerging challenges for the industry). </w:t>
      </w:r>
      <w:proofErr w:type="gramStart"/>
      <w:r w:rsidRPr="00F02A12">
        <w:rPr>
          <w:sz w:val="20"/>
          <w:szCs w:val="20"/>
        </w:rPr>
        <w:t xml:space="preserve">On the risks that Brazil’s stance on unlimited liability poses to private equity investors, </w:t>
      </w:r>
      <w:r w:rsidRPr="00F02A12">
        <w:rPr>
          <w:i/>
          <w:sz w:val="20"/>
          <w:szCs w:val="20"/>
        </w:rPr>
        <w:t xml:space="preserve">see also </w:t>
      </w:r>
      <w:r w:rsidRPr="00F02A12">
        <w:rPr>
          <w:sz w:val="20"/>
          <w:szCs w:val="20"/>
        </w:rPr>
        <w:t xml:space="preserve">the lecture by Brazilian attorney Henry </w:t>
      </w:r>
      <w:proofErr w:type="spellStart"/>
      <w:r w:rsidRPr="00F02A12">
        <w:rPr>
          <w:sz w:val="20"/>
          <w:szCs w:val="20"/>
        </w:rPr>
        <w:t>Stutzer</w:t>
      </w:r>
      <w:proofErr w:type="spellEnd"/>
      <w:r w:rsidRPr="00F02A12">
        <w:rPr>
          <w:sz w:val="20"/>
          <w:szCs w:val="20"/>
        </w:rPr>
        <w:t xml:space="preserve"> in the conference “Contract Enforcement in Brazil: Challenges and </w:t>
      </w:r>
      <w:proofErr w:type="spellStart"/>
      <w:r w:rsidRPr="00F02A12">
        <w:rPr>
          <w:sz w:val="20"/>
          <w:szCs w:val="20"/>
        </w:rPr>
        <w:t>Substitues</w:t>
      </w:r>
      <w:proofErr w:type="spellEnd"/>
      <w:r w:rsidRPr="00F02A12">
        <w:rPr>
          <w:sz w:val="20"/>
          <w:szCs w:val="20"/>
        </w:rPr>
        <w:t xml:space="preserve">”, jointly organized by Fundação Getulio Vargas School of Law at São Paulo and Stanford Law School (video available at </w:t>
      </w:r>
      <w:hyperlink r:id="rId4" w:history="1">
        <w:r w:rsidRPr="00F02A12">
          <w:rPr>
            <w:rStyle w:val="Hyperlink"/>
            <w:sz w:val="20"/>
            <w:szCs w:val="20"/>
          </w:rPr>
          <w:t>http://contractenforcement.blogspot.com.br/</w:t>
        </w:r>
      </w:hyperlink>
      <w:r w:rsidRPr="00F02A12">
        <w:rPr>
          <w:sz w:val="20"/>
          <w:szCs w:val="20"/>
        </w:rPr>
        <w:t>) [hereinafter “Contract Enforcement in Brazil”) (noting that the threat of liability to “deep-pocket stakeholders” extends to officers, board members, shareholders, fund managers, other portfolio companies, and limited partners related to the shareholders).</w:t>
      </w:r>
      <w:proofErr w:type="gramEnd"/>
      <w:r w:rsidRPr="00F02A12">
        <w:rPr>
          <w:sz w:val="20"/>
          <w:szCs w:val="20"/>
        </w:rPr>
        <w:t xml:space="preserve"> </w:t>
      </w:r>
      <w:proofErr w:type="spellStart"/>
      <w:r w:rsidRPr="00F02A12">
        <w:rPr>
          <w:sz w:val="20"/>
          <w:szCs w:val="20"/>
        </w:rPr>
        <w:t>Stutzer</w:t>
      </w:r>
      <w:proofErr w:type="spellEnd"/>
      <w:r w:rsidRPr="00F02A12">
        <w:rPr>
          <w:sz w:val="20"/>
          <w:szCs w:val="20"/>
        </w:rPr>
        <w:t xml:space="preserve"> describes the use of mezzanine and convertible debt to minimize the risk of shareholder liability by private equity investors. On the disincentives to angel investors, </w:t>
      </w:r>
      <w:r w:rsidRPr="00F02A12">
        <w:rPr>
          <w:i/>
          <w:sz w:val="20"/>
          <w:szCs w:val="20"/>
        </w:rPr>
        <w:t xml:space="preserve">see </w:t>
      </w:r>
      <w:r w:rsidRPr="00F02A12">
        <w:rPr>
          <w:sz w:val="20"/>
          <w:szCs w:val="20"/>
        </w:rPr>
        <w:t xml:space="preserve">note </w:t>
      </w:r>
      <w:r w:rsidRPr="00F02A12">
        <w:rPr>
          <w:sz w:val="20"/>
          <w:szCs w:val="20"/>
        </w:rPr>
        <w:fldChar w:fldCharType="begin"/>
      </w:r>
      <w:r w:rsidRPr="00F02A12">
        <w:rPr>
          <w:sz w:val="20"/>
          <w:szCs w:val="20"/>
        </w:rPr>
        <w:instrText xml:space="preserve"> NOTEREF _Ref456103509 \h  \* MERGEFORMAT </w:instrText>
      </w:r>
      <w:r w:rsidRPr="00F02A12">
        <w:rPr>
          <w:sz w:val="20"/>
          <w:szCs w:val="20"/>
        </w:rPr>
      </w:r>
      <w:r w:rsidRPr="00F02A12">
        <w:rPr>
          <w:sz w:val="20"/>
          <w:szCs w:val="20"/>
        </w:rPr>
        <w:fldChar w:fldCharType="separate"/>
      </w:r>
      <w:r>
        <w:rPr>
          <w:sz w:val="20"/>
          <w:szCs w:val="20"/>
        </w:rPr>
        <w:t>148</w:t>
      </w:r>
      <w:r w:rsidRPr="00F02A12">
        <w:rPr>
          <w:sz w:val="20"/>
          <w:szCs w:val="20"/>
        </w:rPr>
        <w:fldChar w:fldCharType="end"/>
      </w:r>
      <w:r w:rsidRPr="00F02A12">
        <w:rPr>
          <w:sz w:val="20"/>
          <w:szCs w:val="20"/>
        </w:rPr>
        <w:t xml:space="preserve"> </w:t>
      </w:r>
      <w:r w:rsidRPr="00F02A12">
        <w:rPr>
          <w:i/>
          <w:sz w:val="20"/>
          <w:szCs w:val="20"/>
        </w:rPr>
        <w:t xml:space="preserve">infra </w:t>
      </w:r>
      <w:r w:rsidRPr="00F02A12">
        <w:rPr>
          <w:sz w:val="20"/>
          <w:szCs w:val="20"/>
        </w:rPr>
        <w:t>and accompanying text.</w:t>
      </w:r>
    </w:p>
  </w:footnote>
  <w:footnote w:id="10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In 2014, nearly 4 million new lawsuits </w:t>
      </w:r>
      <w:proofErr w:type="gramStart"/>
      <w:r w:rsidRPr="00F02A12">
        <w:rPr>
          <w:sz w:val="20"/>
          <w:szCs w:val="20"/>
        </w:rPr>
        <w:t>were filed</w:t>
      </w:r>
      <w:proofErr w:type="gramEnd"/>
      <w:r w:rsidRPr="00F02A12">
        <w:rPr>
          <w:sz w:val="20"/>
          <w:szCs w:val="20"/>
        </w:rPr>
        <w:t xml:space="preserve"> in labor courts in Brazil, leading to over 8 million pending cases. </w:t>
      </w:r>
      <w:r w:rsidRPr="00F02A12">
        <w:rPr>
          <w:smallCaps/>
          <w:sz w:val="20"/>
          <w:szCs w:val="20"/>
          <w:lang w:val="pt-BR"/>
        </w:rPr>
        <w:t xml:space="preserve">Conselho Nacional de Justiça, </w:t>
      </w:r>
      <w:proofErr w:type="spellStart"/>
      <w:r w:rsidRPr="00F02A12">
        <w:rPr>
          <w:smallCaps/>
          <w:sz w:val="20"/>
          <w:szCs w:val="20"/>
          <w:lang w:val="pt-BR"/>
        </w:rPr>
        <w:t>Courts</w:t>
      </w:r>
      <w:proofErr w:type="spellEnd"/>
      <w:r w:rsidRPr="00F02A12">
        <w:rPr>
          <w:smallCaps/>
          <w:sz w:val="20"/>
          <w:szCs w:val="20"/>
          <w:lang w:val="pt-BR"/>
        </w:rPr>
        <w:t xml:space="preserve"> in Figures 14 (</w:t>
      </w:r>
      <w:r w:rsidRPr="00F02A12">
        <w:rPr>
          <w:sz w:val="20"/>
          <w:szCs w:val="20"/>
          <w:lang w:val="pt-BR"/>
        </w:rPr>
        <w:t xml:space="preserve">2015), </w:t>
      </w:r>
      <w:hyperlink r:id="rId5" w:history="1">
        <w:r w:rsidRPr="00F02A12">
          <w:rPr>
            <w:rStyle w:val="Hyperlink"/>
            <w:sz w:val="20"/>
            <w:szCs w:val="20"/>
            <w:lang w:val="pt-BR"/>
          </w:rPr>
          <w:t>http://www.cnj.jus.br/files/conteudo/arquivo/2015/11/491328c33144833370f375278683f955.pdf</w:t>
        </w:r>
      </w:hyperlink>
      <w:r w:rsidRPr="00F02A12">
        <w:rPr>
          <w:sz w:val="20"/>
          <w:szCs w:val="20"/>
          <w:lang w:val="pt-BR"/>
        </w:rPr>
        <w:t xml:space="preserve">. </w:t>
      </w:r>
      <w:r w:rsidRPr="00F02A12">
        <w:rPr>
          <w:sz w:val="20"/>
          <w:szCs w:val="20"/>
        </w:rPr>
        <w:t xml:space="preserve">There is also a general perception that labor courts </w:t>
      </w:r>
      <w:proofErr w:type="gramStart"/>
      <w:r w:rsidRPr="00F02A12">
        <w:rPr>
          <w:sz w:val="20"/>
          <w:szCs w:val="20"/>
        </w:rPr>
        <w:t>may be biased</w:t>
      </w:r>
      <w:proofErr w:type="gramEnd"/>
      <w:r w:rsidRPr="00F02A12">
        <w:rPr>
          <w:sz w:val="20"/>
          <w:szCs w:val="20"/>
        </w:rPr>
        <w:t xml:space="preserve"> in favor of workers’ claims. </w:t>
      </w:r>
      <w:r w:rsidRPr="00F02A12">
        <w:rPr>
          <w:i/>
          <w:sz w:val="20"/>
          <w:szCs w:val="20"/>
        </w:rPr>
        <w:t xml:space="preserve">See </w:t>
      </w:r>
      <w:r w:rsidRPr="00F02A12">
        <w:rPr>
          <w:sz w:val="20"/>
          <w:szCs w:val="20"/>
        </w:rPr>
        <w:t xml:space="preserve">Dias </w:t>
      </w:r>
      <w:proofErr w:type="spellStart"/>
      <w:r w:rsidRPr="00F02A12">
        <w:rPr>
          <w:sz w:val="20"/>
          <w:szCs w:val="20"/>
        </w:rPr>
        <w:t>Reuz</w:t>
      </w:r>
      <w:proofErr w:type="spellEnd"/>
      <w:r w:rsidRPr="00F02A12">
        <w:rPr>
          <w:sz w:val="20"/>
          <w:szCs w:val="20"/>
        </w:rPr>
        <w:t xml:space="preserve">, </w:t>
      </w:r>
      <w:r w:rsidRPr="00F02A12">
        <w:rPr>
          <w:i/>
          <w:sz w:val="20"/>
          <w:szCs w:val="20"/>
        </w:rPr>
        <w:t>Before Hiring Employees in Brazil, Consider This...</w:t>
      </w:r>
      <w:r w:rsidRPr="00F02A12">
        <w:rPr>
          <w:sz w:val="20"/>
          <w:szCs w:val="20"/>
        </w:rPr>
        <w:t xml:space="preserve">, Nov. 14, 2011, </w:t>
      </w:r>
      <w:hyperlink r:id="rId6" w:history="1">
        <w:r w:rsidRPr="00F02A12">
          <w:rPr>
            <w:rStyle w:val="Hyperlink"/>
            <w:sz w:val="20"/>
            <w:szCs w:val="20"/>
          </w:rPr>
          <w:t>http://diazreus.com/before-hiring-employees-in-brazil-consider-this/</w:t>
        </w:r>
      </w:hyperlink>
      <w:r w:rsidRPr="00F02A12">
        <w:rPr>
          <w:sz w:val="20"/>
          <w:szCs w:val="20"/>
        </w:rPr>
        <w:t xml:space="preserve"> (“To top it all, courts tend to favor protecting employees and usually grant whatever benefit for which the individual has petitioned”); </w:t>
      </w:r>
      <w:r w:rsidRPr="00F02A12">
        <w:rPr>
          <w:i/>
          <w:sz w:val="20"/>
          <w:szCs w:val="20"/>
        </w:rPr>
        <w:t>Employer, Beware</w:t>
      </w:r>
      <w:r w:rsidRPr="00F02A12">
        <w:rPr>
          <w:sz w:val="20"/>
          <w:szCs w:val="20"/>
        </w:rPr>
        <w:t xml:space="preserve">, </w:t>
      </w:r>
      <w:r w:rsidRPr="00F02A12">
        <w:rPr>
          <w:smallCaps/>
          <w:sz w:val="20"/>
          <w:szCs w:val="20"/>
        </w:rPr>
        <w:t>The Economist</w:t>
      </w:r>
      <w:r w:rsidRPr="00F02A12">
        <w:rPr>
          <w:sz w:val="20"/>
          <w:szCs w:val="20"/>
        </w:rPr>
        <w:t xml:space="preserve">, Mar. 10, 2011 (“In 2009, 2.1m Brazilians opened cases against their employers in the </w:t>
      </w:r>
      <w:proofErr w:type="spellStart"/>
      <w:r w:rsidRPr="00F02A12">
        <w:rPr>
          <w:sz w:val="20"/>
          <w:szCs w:val="20"/>
        </w:rPr>
        <w:t>labour</w:t>
      </w:r>
      <w:proofErr w:type="spellEnd"/>
      <w:r w:rsidRPr="00F02A12">
        <w:rPr>
          <w:sz w:val="20"/>
          <w:szCs w:val="20"/>
        </w:rPr>
        <w:t xml:space="preserve"> courts. These courts rarely side with employers”). As described by the legal counsel of one of Brazil’s largest banks, “[w]e deal with 60 thousand labor claims. Seventy percent of our former employees file suit. It is a horror scenario”), video available at Contract Enforcement in Brazil,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_Ref456194277 \h  \* MERGEFORMAT </w:instrText>
      </w:r>
      <w:r w:rsidRPr="00F02A12">
        <w:rPr>
          <w:sz w:val="20"/>
          <w:szCs w:val="20"/>
        </w:rPr>
      </w:r>
      <w:r w:rsidRPr="00F02A12">
        <w:rPr>
          <w:sz w:val="20"/>
          <w:szCs w:val="20"/>
        </w:rPr>
        <w:fldChar w:fldCharType="separate"/>
      </w:r>
      <w:r>
        <w:rPr>
          <w:sz w:val="20"/>
          <w:szCs w:val="20"/>
        </w:rPr>
        <w:t>105</w:t>
      </w:r>
      <w:r w:rsidRPr="00F02A12">
        <w:rPr>
          <w:sz w:val="20"/>
          <w:szCs w:val="20"/>
        </w:rPr>
        <w:fldChar w:fldCharType="end"/>
      </w:r>
      <w:r w:rsidRPr="00F02A12">
        <w:rPr>
          <w:sz w:val="20"/>
          <w:szCs w:val="20"/>
        </w:rPr>
        <w:t xml:space="preserve">. </w:t>
      </w:r>
    </w:p>
  </w:footnote>
  <w:footnote w:id="107">
    <w:p w:rsidR="000373FF" w:rsidRPr="00F02A12" w:rsidRDefault="000373FF" w:rsidP="00F02A12">
      <w:pPr>
        <w:spacing w:after="0" w:line="240" w:lineRule="auto"/>
        <w:jc w:val="both"/>
        <w:rPr>
          <w:rFonts w:cs="Times New Roman"/>
          <w:sz w:val="20"/>
          <w:szCs w:val="20"/>
          <w:lang w:val="en-US"/>
        </w:rPr>
      </w:pPr>
      <w:r w:rsidRPr="00F02A12">
        <w:rPr>
          <w:rStyle w:val="Refdenotaderodap"/>
          <w:rFonts w:cs="Times New Roman"/>
          <w:sz w:val="20"/>
          <w:szCs w:val="20"/>
        </w:rPr>
        <w:footnoteRef/>
      </w:r>
      <w:r w:rsidRPr="00F02A12">
        <w:rPr>
          <w:rFonts w:cs="Times New Roman"/>
          <w:sz w:val="20"/>
          <w:szCs w:val="20"/>
          <w:lang w:val="en-US"/>
        </w:rPr>
        <w:t xml:space="preserve"> Decree-Law 2,321 of Feb. 25, 1987, Art. 15. Some authors, however, adopt a restrictive interpretation of the liability regime applicable to controlling shareholders of financial institutions. </w:t>
      </w:r>
      <w:proofErr w:type="gramStart"/>
      <w:r w:rsidRPr="00F02A12">
        <w:rPr>
          <w:rFonts w:cs="Times New Roman"/>
          <w:sz w:val="20"/>
          <w:szCs w:val="20"/>
          <w:lang w:val="en-US"/>
        </w:rPr>
        <w:t xml:space="preserve">Arnoldo Wald &amp; Alexandre Wald, </w:t>
      </w:r>
      <w:r w:rsidRPr="00F02A12">
        <w:rPr>
          <w:rFonts w:cs="Times New Roman"/>
          <w:i/>
          <w:sz w:val="20"/>
          <w:szCs w:val="20"/>
          <w:lang w:val="en-US"/>
        </w:rPr>
        <w:t xml:space="preserve">O </w:t>
      </w:r>
      <w:proofErr w:type="spellStart"/>
      <w:r w:rsidRPr="00F02A12">
        <w:rPr>
          <w:rFonts w:cs="Times New Roman"/>
          <w:i/>
          <w:sz w:val="20"/>
          <w:szCs w:val="20"/>
          <w:lang w:val="en-US"/>
        </w:rPr>
        <w:t>Descabimento</w:t>
      </w:r>
      <w:proofErr w:type="spellEnd"/>
      <w:r w:rsidRPr="00F02A12">
        <w:rPr>
          <w:rFonts w:cs="Times New Roman"/>
          <w:i/>
          <w:sz w:val="20"/>
          <w:szCs w:val="20"/>
          <w:lang w:val="en-US"/>
        </w:rPr>
        <w:t xml:space="preserve"> da </w:t>
      </w:r>
      <w:proofErr w:type="spellStart"/>
      <w:r w:rsidRPr="00F02A12">
        <w:rPr>
          <w:rFonts w:cs="Times New Roman"/>
          <w:i/>
          <w:sz w:val="20"/>
          <w:szCs w:val="20"/>
          <w:lang w:val="en-US"/>
        </w:rPr>
        <w:t>Indisponibilidade</w:t>
      </w:r>
      <w:proofErr w:type="spellEnd"/>
      <w:r w:rsidRPr="00F02A12">
        <w:rPr>
          <w:rFonts w:cs="Times New Roman"/>
          <w:i/>
          <w:sz w:val="20"/>
          <w:szCs w:val="20"/>
          <w:lang w:val="en-US"/>
        </w:rPr>
        <w:t xml:space="preserve"> dos Bens dos Ex-</w:t>
      </w:r>
      <w:proofErr w:type="spellStart"/>
      <w:r w:rsidRPr="00F02A12">
        <w:rPr>
          <w:rFonts w:cs="Times New Roman"/>
          <w:i/>
          <w:sz w:val="20"/>
          <w:szCs w:val="20"/>
          <w:lang w:val="en-US"/>
        </w:rPr>
        <w:t>Administradores</w:t>
      </w:r>
      <w:proofErr w:type="spellEnd"/>
      <w:r w:rsidRPr="00F02A12">
        <w:rPr>
          <w:rFonts w:cs="Times New Roman"/>
          <w:i/>
          <w:sz w:val="20"/>
          <w:szCs w:val="20"/>
          <w:lang w:val="en-US"/>
        </w:rPr>
        <w:t xml:space="preserve"> de </w:t>
      </w:r>
      <w:proofErr w:type="spellStart"/>
      <w:r w:rsidRPr="00F02A12">
        <w:rPr>
          <w:rFonts w:cs="Times New Roman"/>
          <w:i/>
          <w:sz w:val="20"/>
          <w:szCs w:val="20"/>
          <w:lang w:val="en-US"/>
        </w:rPr>
        <w:t>Instituição</w:t>
      </w:r>
      <w:proofErr w:type="spellEnd"/>
      <w:r w:rsidRPr="00F02A12">
        <w:rPr>
          <w:rFonts w:cs="Times New Roman"/>
          <w:i/>
          <w:sz w:val="20"/>
          <w:szCs w:val="20"/>
          <w:lang w:val="en-US"/>
        </w:rPr>
        <w:t xml:space="preserve"> </w:t>
      </w:r>
      <w:proofErr w:type="spellStart"/>
      <w:r w:rsidRPr="00F02A12">
        <w:rPr>
          <w:rFonts w:cs="Times New Roman"/>
          <w:i/>
          <w:sz w:val="20"/>
          <w:szCs w:val="20"/>
          <w:lang w:val="en-US"/>
        </w:rPr>
        <w:t>Financeira</w:t>
      </w:r>
      <w:proofErr w:type="spellEnd"/>
      <w:r w:rsidRPr="00F02A12">
        <w:rPr>
          <w:rFonts w:cs="Times New Roman"/>
          <w:i/>
          <w:sz w:val="20"/>
          <w:szCs w:val="20"/>
          <w:lang w:val="en-US"/>
        </w:rPr>
        <w:t xml:space="preserve"> </w:t>
      </w:r>
      <w:proofErr w:type="spellStart"/>
      <w:r w:rsidRPr="00F02A12">
        <w:rPr>
          <w:rFonts w:cs="Times New Roman"/>
          <w:i/>
          <w:sz w:val="20"/>
          <w:szCs w:val="20"/>
          <w:lang w:val="en-US"/>
        </w:rPr>
        <w:t>em</w:t>
      </w:r>
      <w:proofErr w:type="spellEnd"/>
      <w:r w:rsidRPr="00F02A12">
        <w:rPr>
          <w:rFonts w:cs="Times New Roman"/>
          <w:i/>
          <w:sz w:val="20"/>
          <w:szCs w:val="20"/>
          <w:lang w:val="en-US"/>
        </w:rPr>
        <w:t xml:space="preserve"> </w:t>
      </w:r>
      <w:proofErr w:type="spellStart"/>
      <w:r w:rsidRPr="00F02A12">
        <w:rPr>
          <w:rFonts w:cs="Times New Roman"/>
          <w:i/>
          <w:sz w:val="20"/>
          <w:szCs w:val="20"/>
          <w:lang w:val="en-US"/>
        </w:rPr>
        <w:t>Liquidação</w:t>
      </w:r>
      <w:proofErr w:type="spellEnd"/>
      <w:r w:rsidRPr="00F02A12">
        <w:rPr>
          <w:rFonts w:cs="Times New Roman"/>
          <w:i/>
          <w:sz w:val="20"/>
          <w:szCs w:val="20"/>
          <w:lang w:val="en-US"/>
        </w:rPr>
        <w:t xml:space="preserve"> Extrajudicial, </w:t>
      </w:r>
      <w:proofErr w:type="spellStart"/>
      <w:r w:rsidRPr="00F02A12">
        <w:rPr>
          <w:rFonts w:cs="Times New Roman"/>
          <w:i/>
          <w:sz w:val="20"/>
          <w:szCs w:val="20"/>
          <w:lang w:val="en-US"/>
        </w:rPr>
        <w:t>Quando</w:t>
      </w:r>
      <w:proofErr w:type="spellEnd"/>
      <w:r w:rsidRPr="00F02A12">
        <w:rPr>
          <w:rFonts w:cs="Times New Roman"/>
          <w:i/>
          <w:sz w:val="20"/>
          <w:szCs w:val="20"/>
          <w:lang w:val="en-US"/>
        </w:rPr>
        <w:t xml:space="preserve"> o </w:t>
      </w:r>
      <w:proofErr w:type="spellStart"/>
      <w:r w:rsidRPr="00F02A12">
        <w:rPr>
          <w:rFonts w:cs="Times New Roman"/>
          <w:i/>
          <w:sz w:val="20"/>
          <w:szCs w:val="20"/>
          <w:lang w:val="en-US"/>
        </w:rPr>
        <w:t>Inquérito</w:t>
      </w:r>
      <w:proofErr w:type="spellEnd"/>
      <w:r w:rsidRPr="00F02A12">
        <w:rPr>
          <w:rFonts w:cs="Times New Roman"/>
          <w:i/>
          <w:sz w:val="20"/>
          <w:szCs w:val="20"/>
          <w:lang w:val="en-US"/>
        </w:rPr>
        <w:t xml:space="preserve"> </w:t>
      </w:r>
      <w:proofErr w:type="spellStart"/>
      <w:r w:rsidRPr="00F02A12">
        <w:rPr>
          <w:rFonts w:cs="Times New Roman"/>
          <w:i/>
          <w:sz w:val="20"/>
          <w:szCs w:val="20"/>
          <w:lang w:val="en-US"/>
        </w:rPr>
        <w:t>Realizado</w:t>
      </w:r>
      <w:proofErr w:type="spellEnd"/>
      <w:r w:rsidRPr="00F02A12">
        <w:rPr>
          <w:rFonts w:cs="Times New Roman"/>
          <w:i/>
          <w:sz w:val="20"/>
          <w:szCs w:val="20"/>
          <w:lang w:val="en-US"/>
        </w:rPr>
        <w:t xml:space="preserve"> </w:t>
      </w:r>
      <w:proofErr w:type="spellStart"/>
      <w:r w:rsidRPr="00F02A12">
        <w:rPr>
          <w:rFonts w:cs="Times New Roman"/>
          <w:i/>
          <w:sz w:val="20"/>
          <w:szCs w:val="20"/>
          <w:lang w:val="en-US"/>
        </w:rPr>
        <w:t>pelo</w:t>
      </w:r>
      <w:proofErr w:type="spellEnd"/>
      <w:r w:rsidRPr="00F02A12">
        <w:rPr>
          <w:rFonts w:cs="Times New Roman"/>
          <w:i/>
          <w:sz w:val="20"/>
          <w:szCs w:val="20"/>
          <w:lang w:val="en-US"/>
        </w:rPr>
        <w:t xml:space="preserve"> Banco Central </w:t>
      </w:r>
      <w:proofErr w:type="spellStart"/>
      <w:r w:rsidRPr="00F02A12">
        <w:rPr>
          <w:rFonts w:cs="Times New Roman"/>
          <w:i/>
          <w:sz w:val="20"/>
          <w:szCs w:val="20"/>
          <w:lang w:val="en-US"/>
        </w:rPr>
        <w:t>Não</w:t>
      </w:r>
      <w:proofErr w:type="spellEnd"/>
      <w:r w:rsidRPr="00F02A12">
        <w:rPr>
          <w:rFonts w:cs="Times New Roman"/>
          <w:i/>
          <w:sz w:val="20"/>
          <w:szCs w:val="20"/>
          <w:lang w:val="en-US"/>
        </w:rPr>
        <w:t xml:space="preserve"> </w:t>
      </w:r>
      <w:proofErr w:type="spellStart"/>
      <w:r w:rsidRPr="00F02A12">
        <w:rPr>
          <w:rFonts w:cs="Times New Roman"/>
          <w:i/>
          <w:sz w:val="20"/>
          <w:szCs w:val="20"/>
          <w:lang w:val="en-US"/>
        </w:rPr>
        <w:t>Apura</w:t>
      </w:r>
      <w:proofErr w:type="spellEnd"/>
      <w:r w:rsidRPr="00F02A12">
        <w:rPr>
          <w:rFonts w:cs="Times New Roman"/>
          <w:i/>
          <w:sz w:val="20"/>
          <w:szCs w:val="20"/>
          <w:lang w:val="en-US"/>
        </w:rPr>
        <w:t xml:space="preserve"> </w:t>
      </w:r>
      <w:proofErr w:type="spellStart"/>
      <w:r w:rsidRPr="00F02A12">
        <w:rPr>
          <w:rFonts w:cs="Times New Roman"/>
          <w:i/>
          <w:sz w:val="20"/>
          <w:szCs w:val="20"/>
          <w:lang w:val="en-US"/>
        </w:rPr>
        <w:t>Nexo</w:t>
      </w:r>
      <w:proofErr w:type="spellEnd"/>
      <w:r w:rsidRPr="00F02A12">
        <w:rPr>
          <w:rFonts w:cs="Times New Roman"/>
          <w:i/>
          <w:sz w:val="20"/>
          <w:szCs w:val="20"/>
          <w:lang w:val="en-US"/>
        </w:rPr>
        <w:t xml:space="preserve"> Causal Entre a </w:t>
      </w:r>
      <w:proofErr w:type="spellStart"/>
      <w:r w:rsidRPr="00F02A12">
        <w:rPr>
          <w:rFonts w:cs="Times New Roman"/>
          <w:i/>
          <w:sz w:val="20"/>
          <w:szCs w:val="20"/>
          <w:lang w:val="en-US"/>
        </w:rPr>
        <w:t>Conduta</w:t>
      </w:r>
      <w:proofErr w:type="spellEnd"/>
      <w:r w:rsidRPr="00F02A12">
        <w:rPr>
          <w:rFonts w:cs="Times New Roman"/>
          <w:i/>
          <w:sz w:val="20"/>
          <w:szCs w:val="20"/>
          <w:lang w:val="en-US"/>
        </w:rPr>
        <w:t xml:space="preserve"> e o </w:t>
      </w:r>
      <w:proofErr w:type="spellStart"/>
      <w:r w:rsidRPr="00F02A12">
        <w:rPr>
          <w:rFonts w:cs="Times New Roman"/>
          <w:i/>
          <w:sz w:val="20"/>
          <w:szCs w:val="20"/>
          <w:lang w:val="en-US"/>
        </w:rPr>
        <w:t>Prejuízo</w:t>
      </w:r>
      <w:proofErr w:type="spellEnd"/>
      <w:r w:rsidRPr="00F02A12">
        <w:rPr>
          <w:rFonts w:cs="Times New Roman"/>
          <w:sz w:val="20"/>
          <w:szCs w:val="20"/>
          <w:lang w:val="en-US"/>
        </w:rPr>
        <w:t xml:space="preserve">, </w:t>
      </w:r>
      <w:r w:rsidRPr="00F02A12">
        <w:rPr>
          <w:rFonts w:cs="Times New Roman"/>
          <w:i/>
          <w:sz w:val="20"/>
          <w:szCs w:val="20"/>
          <w:lang w:val="en-US"/>
        </w:rPr>
        <w:t>in</w:t>
      </w:r>
      <w:r w:rsidRPr="00F02A12">
        <w:rPr>
          <w:rFonts w:cs="Times New Roman"/>
          <w:sz w:val="20"/>
          <w:szCs w:val="20"/>
          <w:lang w:val="en-US"/>
        </w:rPr>
        <w:t xml:space="preserve"> </w:t>
      </w:r>
      <w:proofErr w:type="spellStart"/>
      <w:r w:rsidRPr="00F02A12">
        <w:rPr>
          <w:rFonts w:cs="Times New Roman"/>
          <w:bCs/>
          <w:smallCaps/>
          <w:sz w:val="20"/>
          <w:szCs w:val="20"/>
          <w:lang w:val="en-US"/>
        </w:rPr>
        <w:t>Intervenção</w:t>
      </w:r>
      <w:proofErr w:type="spellEnd"/>
      <w:r w:rsidRPr="00F02A12">
        <w:rPr>
          <w:rFonts w:cs="Times New Roman"/>
          <w:bCs/>
          <w:smallCaps/>
          <w:sz w:val="20"/>
          <w:szCs w:val="20"/>
          <w:lang w:val="en-US"/>
        </w:rPr>
        <w:t xml:space="preserve"> e </w:t>
      </w:r>
      <w:proofErr w:type="spellStart"/>
      <w:r w:rsidRPr="00F02A12">
        <w:rPr>
          <w:rFonts w:cs="Times New Roman"/>
          <w:bCs/>
          <w:smallCaps/>
          <w:sz w:val="20"/>
          <w:szCs w:val="20"/>
          <w:lang w:val="en-US"/>
        </w:rPr>
        <w:t>Liquidação</w:t>
      </w:r>
      <w:proofErr w:type="spellEnd"/>
      <w:r w:rsidRPr="00F02A12">
        <w:rPr>
          <w:rFonts w:cs="Times New Roman"/>
          <w:bCs/>
          <w:smallCaps/>
          <w:sz w:val="20"/>
          <w:szCs w:val="20"/>
          <w:lang w:val="en-US"/>
        </w:rPr>
        <w:t xml:space="preserve"> Extrajudicial no Sistema </w:t>
      </w:r>
      <w:proofErr w:type="spellStart"/>
      <w:r w:rsidRPr="00F02A12">
        <w:rPr>
          <w:rFonts w:cs="Times New Roman"/>
          <w:bCs/>
          <w:smallCaps/>
          <w:sz w:val="20"/>
          <w:szCs w:val="20"/>
          <w:lang w:val="en-US"/>
        </w:rPr>
        <w:t>Financeiro</w:t>
      </w:r>
      <w:proofErr w:type="spellEnd"/>
      <w:r w:rsidRPr="00F02A12">
        <w:rPr>
          <w:rFonts w:cs="Times New Roman"/>
          <w:bCs/>
          <w:smallCaps/>
          <w:sz w:val="20"/>
          <w:szCs w:val="20"/>
          <w:lang w:val="en-US"/>
        </w:rPr>
        <w:t xml:space="preserve"> Nacional - 25 </w:t>
      </w:r>
      <w:proofErr w:type="spellStart"/>
      <w:r w:rsidRPr="00F02A12">
        <w:rPr>
          <w:rFonts w:cs="Times New Roman"/>
          <w:bCs/>
          <w:smallCaps/>
          <w:sz w:val="20"/>
          <w:szCs w:val="20"/>
          <w:lang w:val="en-US"/>
        </w:rPr>
        <w:t>anos</w:t>
      </w:r>
      <w:proofErr w:type="spellEnd"/>
      <w:r w:rsidRPr="00F02A12">
        <w:rPr>
          <w:rFonts w:cs="Times New Roman"/>
          <w:bCs/>
          <w:smallCaps/>
          <w:sz w:val="20"/>
          <w:szCs w:val="20"/>
          <w:lang w:val="en-US"/>
        </w:rPr>
        <w:t xml:space="preserve"> da Lei 6.024 171</w:t>
      </w:r>
      <w:r w:rsidRPr="00F02A12">
        <w:rPr>
          <w:rFonts w:cs="Times New Roman"/>
          <w:bCs/>
          <w:sz w:val="20"/>
          <w:szCs w:val="20"/>
          <w:lang w:val="en-US"/>
        </w:rPr>
        <w:t xml:space="preserve"> (Jairo </w:t>
      </w:r>
      <w:proofErr w:type="spellStart"/>
      <w:r w:rsidRPr="00F02A12">
        <w:rPr>
          <w:rFonts w:cs="Times New Roman"/>
          <w:bCs/>
          <w:sz w:val="20"/>
          <w:szCs w:val="20"/>
          <w:lang w:val="en-US"/>
        </w:rPr>
        <w:t>Saddi</w:t>
      </w:r>
      <w:proofErr w:type="spellEnd"/>
      <w:r w:rsidRPr="00F02A12">
        <w:rPr>
          <w:rFonts w:cs="Times New Roman"/>
          <w:bCs/>
          <w:sz w:val="20"/>
          <w:szCs w:val="20"/>
          <w:lang w:val="en-US"/>
        </w:rPr>
        <w:t xml:space="preserve"> ed., 1999) (arguing that the liability regime of managers and controlling shareholders of financial institutions is based on fault); </w:t>
      </w:r>
      <w:r w:rsidRPr="00F02A12">
        <w:rPr>
          <w:rFonts w:cs="Times New Roman"/>
          <w:smallCaps/>
          <w:sz w:val="20"/>
          <w:szCs w:val="20"/>
          <w:lang w:val="en-US"/>
        </w:rPr>
        <w:t xml:space="preserve">Eduardo </w:t>
      </w:r>
      <w:proofErr w:type="spellStart"/>
      <w:r w:rsidRPr="00F02A12">
        <w:rPr>
          <w:rFonts w:cs="Times New Roman"/>
          <w:smallCaps/>
          <w:sz w:val="20"/>
          <w:szCs w:val="20"/>
          <w:lang w:val="en-US"/>
        </w:rPr>
        <w:t>Salomão</w:t>
      </w:r>
      <w:proofErr w:type="spellEnd"/>
      <w:r w:rsidRPr="00F02A12">
        <w:rPr>
          <w:rFonts w:cs="Times New Roman"/>
          <w:smallCaps/>
          <w:sz w:val="20"/>
          <w:szCs w:val="20"/>
          <w:lang w:val="en-US"/>
        </w:rPr>
        <w:t xml:space="preserve"> </w:t>
      </w:r>
      <w:proofErr w:type="spellStart"/>
      <w:r w:rsidRPr="00F02A12">
        <w:rPr>
          <w:rFonts w:cs="Times New Roman"/>
          <w:smallCaps/>
          <w:sz w:val="20"/>
          <w:szCs w:val="20"/>
          <w:lang w:val="en-US"/>
        </w:rPr>
        <w:t>Neto</w:t>
      </w:r>
      <w:proofErr w:type="spellEnd"/>
      <w:r w:rsidRPr="00F02A12">
        <w:rPr>
          <w:rFonts w:cs="Times New Roman"/>
          <w:smallCaps/>
          <w:sz w:val="20"/>
          <w:szCs w:val="20"/>
          <w:lang w:val="en-US"/>
        </w:rPr>
        <w:t xml:space="preserve">, </w:t>
      </w:r>
      <w:proofErr w:type="spellStart"/>
      <w:r w:rsidRPr="00F02A12">
        <w:rPr>
          <w:rFonts w:cs="Times New Roman"/>
          <w:smallCaps/>
          <w:sz w:val="20"/>
          <w:szCs w:val="20"/>
          <w:lang w:val="en-US"/>
        </w:rPr>
        <w:t>Direito</w:t>
      </w:r>
      <w:proofErr w:type="spellEnd"/>
      <w:r w:rsidRPr="00F02A12">
        <w:rPr>
          <w:rFonts w:cs="Times New Roman"/>
          <w:smallCaps/>
          <w:sz w:val="20"/>
          <w:szCs w:val="20"/>
          <w:lang w:val="en-US"/>
        </w:rPr>
        <w:t xml:space="preserve"> </w:t>
      </w:r>
      <w:proofErr w:type="spellStart"/>
      <w:r w:rsidRPr="00F02A12">
        <w:rPr>
          <w:rFonts w:cs="Times New Roman"/>
          <w:smallCaps/>
          <w:sz w:val="20"/>
          <w:szCs w:val="20"/>
          <w:lang w:val="en-US"/>
        </w:rPr>
        <w:t>Bancário</w:t>
      </w:r>
      <w:proofErr w:type="spellEnd"/>
      <w:r w:rsidRPr="00F02A12">
        <w:rPr>
          <w:rFonts w:cs="Times New Roman"/>
          <w:smallCaps/>
          <w:sz w:val="20"/>
          <w:szCs w:val="20"/>
          <w:lang w:val="en-US"/>
        </w:rPr>
        <w:t xml:space="preserve"> 723-7</w:t>
      </w:r>
      <w:r w:rsidRPr="00F02A12">
        <w:rPr>
          <w:rFonts w:cs="Times New Roman"/>
          <w:sz w:val="20"/>
          <w:szCs w:val="20"/>
          <w:lang w:val="en-US"/>
        </w:rPr>
        <w:t xml:space="preserve"> (2014) (defending that both managers and controlling shareholders are strictly liable on a joint and several basis, but that individual controlling shareholders can escape liability by interposing a holding company).</w:t>
      </w:r>
      <w:proofErr w:type="gramEnd"/>
      <w:r w:rsidRPr="00F02A12">
        <w:rPr>
          <w:rFonts w:cs="Times New Roman"/>
          <w:sz w:val="20"/>
          <w:szCs w:val="20"/>
          <w:lang w:val="en-US"/>
        </w:rPr>
        <w:t xml:space="preserve"> </w:t>
      </w:r>
    </w:p>
  </w:footnote>
  <w:footnote w:id="10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Law 4,595, Dec. 31, 1964, Art. 25.</w:t>
      </w:r>
    </w:p>
  </w:footnote>
  <w:footnote w:id="109">
    <w:p w:rsidR="000373FF" w:rsidRPr="00F02A12" w:rsidRDefault="000373FF" w:rsidP="00F02A12">
      <w:pPr>
        <w:pStyle w:val="Textodenotaderodap"/>
        <w:jc w:val="both"/>
        <w:rPr>
          <w:rFonts w:cs="Times New Roman"/>
          <w:sz w:val="20"/>
          <w:szCs w:val="20"/>
          <w:lang w:val="pt-BR"/>
        </w:rPr>
      </w:pPr>
      <w:r w:rsidRPr="00F02A12">
        <w:rPr>
          <w:rStyle w:val="Refdenotaderodap"/>
          <w:rFonts w:cs="Times New Roman"/>
          <w:sz w:val="20"/>
          <w:szCs w:val="20"/>
        </w:rPr>
        <w:footnoteRef/>
      </w:r>
      <w:r w:rsidRPr="00F02A12">
        <w:rPr>
          <w:rFonts w:cs="Times New Roman"/>
          <w:sz w:val="20"/>
          <w:szCs w:val="20"/>
        </w:rPr>
        <w:t xml:space="preserve"> Decree-Law 2,321 of Feb. 25, 1987, Art. 15. </w:t>
      </w:r>
      <w:r w:rsidRPr="00F02A12">
        <w:rPr>
          <w:sz w:val="20"/>
          <w:szCs w:val="20"/>
        </w:rPr>
        <w:t xml:space="preserve">Both the Central Bank and the judiciary have traditionally interpreted the statute as imposing strict liability for the bank’s obligations. However, recent judicial decisions have held that the imposition of liability on managers is fault-based, but subject to a rebuttable presumption of fault. </w:t>
      </w:r>
      <w:r w:rsidRPr="00F02A12">
        <w:rPr>
          <w:sz w:val="20"/>
          <w:szCs w:val="20"/>
          <w:lang w:val="pt-BR"/>
        </w:rPr>
        <w:t xml:space="preserve">For a </w:t>
      </w:r>
      <w:proofErr w:type="spellStart"/>
      <w:r w:rsidRPr="00F02A12">
        <w:rPr>
          <w:sz w:val="20"/>
          <w:szCs w:val="20"/>
          <w:lang w:val="pt-BR"/>
        </w:rPr>
        <w:t>discussion</w:t>
      </w:r>
      <w:proofErr w:type="spellEnd"/>
      <w:r w:rsidRPr="00F02A12">
        <w:rPr>
          <w:sz w:val="20"/>
          <w:szCs w:val="20"/>
          <w:lang w:val="pt-BR"/>
        </w:rPr>
        <w:t xml:space="preserve"> </w:t>
      </w:r>
      <w:proofErr w:type="spellStart"/>
      <w:r w:rsidRPr="00F02A12">
        <w:rPr>
          <w:sz w:val="20"/>
          <w:szCs w:val="20"/>
          <w:lang w:val="pt-BR"/>
        </w:rPr>
        <w:t>of</w:t>
      </w:r>
      <w:proofErr w:type="spellEnd"/>
      <w:r w:rsidRPr="00F02A12">
        <w:rPr>
          <w:sz w:val="20"/>
          <w:szCs w:val="20"/>
          <w:lang w:val="pt-BR"/>
        </w:rPr>
        <w:t xml:space="preserve"> </w:t>
      </w:r>
      <w:proofErr w:type="spellStart"/>
      <w:r w:rsidRPr="00F02A12">
        <w:rPr>
          <w:sz w:val="20"/>
          <w:szCs w:val="20"/>
          <w:lang w:val="pt-BR"/>
        </w:rPr>
        <w:t>the</w:t>
      </w:r>
      <w:proofErr w:type="spellEnd"/>
      <w:r w:rsidRPr="00F02A12">
        <w:rPr>
          <w:sz w:val="20"/>
          <w:szCs w:val="20"/>
          <w:lang w:val="pt-BR"/>
        </w:rPr>
        <w:t xml:space="preserve"> </w:t>
      </w:r>
      <w:proofErr w:type="spellStart"/>
      <w:r w:rsidRPr="00F02A12">
        <w:rPr>
          <w:sz w:val="20"/>
          <w:szCs w:val="20"/>
          <w:lang w:val="pt-BR"/>
        </w:rPr>
        <w:t>interpretative</w:t>
      </w:r>
      <w:proofErr w:type="spellEnd"/>
      <w:r w:rsidRPr="00F02A12">
        <w:rPr>
          <w:sz w:val="20"/>
          <w:szCs w:val="20"/>
          <w:lang w:val="pt-BR"/>
        </w:rPr>
        <w:t xml:space="preserve"> </w:t>
      </w:r>
      <w:proofErr w:type="spellStart"/>
      <w:r w:rsidRPr="00F02A12">
        <w:rPr>
          <w:sz w:val="20"/>
          <w:szCs w:val="20"/>
          <w:lang w:val="pt-BR"/>
        </w:rPr>
        <w:t>controversies</w:t>
      </w:r>
      <w:proofErr w:type="spellEnd"/>
      <w:r w:rsidRPr="00F02A12">
        <w:rPr>
          <w:sz w:val="20"/>
          <w:szCs w:val="20"/>
          <w:lang w:val="pt-BR"/>
        </w:rPr>
        <w:t xml:space="preserve"> </w:t>
      </w:r>
      <w:proofErr w:type="spellStart"/>
      <w:r w:rsidRPr="00F02A12">
        <w:rPr>
          <w:sz w:val="20"/>
          <w:szCs w:val="20"/>
          <w:lang w:val="pt-BR"/>
        </w:rPr>
        <w:t>and</w:t>
      </w:r>
      <w:proofErr w:type="spellEnd"/>
      <w:r w:rsidRPr="00F02A12">
        <w:rPr>
          <w:sz w:val="20"/>
          <w:szCs w:val="20"/>
          <w:lang w:val="pt-BR"/>
        </w:rPr>
        <w:t xml:space="preserve"> judicial </w:t>
      </w:r>
      <w:proofErr w:type="spellStart"/>
      <w:r w:rsidRPr="00F02A12">
        <w:rPr>
          <w:sz w:val="20"/>
          <w:szCs w:val="20"/>
          <w:lang w:val="pt-BR"/>
        </w:rPr>
        <w:t>precedents</w:t>
      </w:r>
      <w:proofErr w:type="spellEnd"/>
      <w:r w:rsidRPr="00F02A12">
        <w:rPr>
          <w:sz w:val="20"/>
          <w:szCs w:val="20"/>
          <w:lang w:val="pt-BR"/>
        </w:rPr>
        <w:t xml:space="preserve"> </w:t>
      </w:r>
      <w:proofErr w:type="spellStart"/>
      <w:r w:rsidRPr="00F02A12">
        <w:rPr>
          <w:sz w:val="20"/>
          <w:szCs w:val="20"/>
          <w:lang w:val="pt-BR"/>
        </w:rPr>
        <w:t>on</w:t>
      </w:r>
      <w:proofErr w:type="spellEnd"/>
      <w:r w:rsidRPr="00F02A12">
        <w:rPr>
          <w:sz w:val="20"/>
          <w:szCs w:val="20"/>
          <w:lang w:val="pt-BR"/>
        </w:rPr>
        <w:t xml:space="preserve"> </w:t>
      </w:r>
      <w:proofErr w:type="spellStart"/>
      <w:r w:rsidRPr="00F02A12">
        <w:rPr>
          <w:sz w:val="20"/>
          <w:szCs w:val="20"/>
          <w:lang w:val="pt-BR"/>
        </w:rPr>
        <w:t>this</w:t>
      </w:r>
      <w:proofErr w:type="spellEnd"/>
      <w:r w:rsidRPr="00F02A12">
        <w:rPr>
          <w:sz w:val="20"/>
          <w:szCs w:val="20"/>
          <w:lang w:val="pt-BR"/>
        </w:rPr>
        <w:t xml:space="preserve"> </w:t>
      </w:r>
      <w:proofErr w:type="spellStart"/>
      <w:r w:rsidRPr="00F02A12">
        <w:rPr>
          <w:sz w:val="20"/>
          <w:szCs w:val="20"/>
          <w:lang w:val="pt-BR"/>
        </w:rPr>
        <w:t>topic</w:t>
      </w:r>
      <w:proofErr w:type="spellEnd"/>
      <w:r w:rsidRPr="00F02A12">
        <w:rPr>
          <w:sz w:val="20"/>
          <w:szCs w:val="20"/>
          <w:lang w:val="pt-BR"/>
        </w:rPr>
        <w:t xml:space="preserve">, </w:t>
      </w:r>
      <w:proofErr w:type="spellStart"/>
      <w:r w:rsidRPr="00F02A12">
        <w:rPr>
          <w:i/>
          <w:sz w:val="20"/>
          <w:szCs w:val="20"/>
          <w:lang w:val="pt-BR"/>
        </w:rPr>
        <w:t>see</w:t>
      </w:r>
      <w:proofErr w:type="spellEnd"/>
      <w:r w:rsidRPr="00F02A12">
        <w:rPr>
          <w:i/>
          <w:sz w:val="20"/>
          <w:szCs w:val="20"/>
          <w:lang w:val="pt-BR"/>
        </w:rPr>
        <w:t xml:space="preserve"> </w:t>
      </w:r>
      <w:r w:rsidRPr="00F02A12">
        <w:rPr>
          <w:rFonts w:cs="Times New Roman"/>
          <w:sz w:val="20"/>
          <w:szCs w:val="20"/>
          <w:lang w:val="pt-BR"/>
        </w:rPr>
        <w:t xml:space="preserve">Luiz Carlos </w:t>
      </w:r>
      <w:proofErr w:type="spellStart"/>
      <w:r w:rsidRPr="00F02A12">
        <w:rPr>
          <w:rFonts w:cs="Times New Roman"/>
          <w:sz w:val="20"/>
          <w:szCs w:val="20"/>
          <w:lang w:val="pt-BR"/>
        </w:rPr>
        <w:t>Sturzenegger</w:t>
      </w:r>
      <w:proofErr w:type="spellEnd"/>
      <w:r w:rsidRPr="00F02A12">
        <w:rPr>
          <w:rFonts w:cs="Times New Roman"/>
          <w:sz w:val="20"/>
          <w:szCs w:val="20"/>
          <w:lang w:val="pt-BR"/>
        </w:rPr>
        <w:t>,</w:t>
      </w:r>
      <w:r w:rsidRPr="00F02A12">
        <w:rPr>
          <w:rFonts w:cs="Times New Roman"/>
          <w:i/>
          <w:sz w:val="20"/>
          <w:szCs w:val="20"/>
          <w:lang w:val="pt-BR"/>
        </w:rPr>
        <w:t xml:space="preserve"> Apontamentos Sobre Responsabilidade Civil de Controladores e Administradores de Instituições Financeiras – Anteprojeto do Banco Central do Brasil do regime de “saída bancária”</w:t>
      </w:r>
      <w:r w:rsidRPr="00F02A12">
        <w:rPr>
          <w:rFonts w:cs="Times New Roman"/>
          <w:sz w:val="20"/>
          <w:szCs w:val="20"/>
          <w:lang w:val="pt-BR"/>
        </w:rPr>
        <w:t xml:space="preserve">, </w:t>
      </w:r>
      <w:proofErr w:type="gramStart"/>
      <w:r w:rsidRPr="00F02A12">
        <w:rPr>
          <w:rFonts w:cs="Times New Roman"/>
          <w:sz w:val="20"/>
          <w:szCs w:val="20"/>
          <w:lang w:val="pt-BR"/>
        </w:rPr>
        <w:t xml:space="preserve">52 </w:t>
      </w:r>
      <w:r w:rsidRPr="00F02A12">
        <w:rPr>
          <w:rFonts w:cs="Times New Roman"/>
          <w:smallCaps/>
          <w:sz w:val="20"/>
          <w:szCs w:val="20"/>
          <w:lang w:val="pt-BR"/>
        </w:rPr>
        <w:t>Revista</w:t>
      </w:r>
      <w:proofErr w:type="gramEnd"/>
      <w:r w:rsidRPr="00F02A12">
        <w:rPr>
          <w:rFonts w:cs="Times New Roman"/>
          <w:smallCaps/>
          <w:sz w:val="20"/>
          <w:szCs w:val="20"/>
          <w:lang w:val="pt-BR"/>
        </w:rPr>
        <w:t xml:space="preserve"> de Direito Bancário e Mercado de Capitais</w:t>
      </w:r>
      <w:r w:rsidRPr="00F02A12">
        <w:rPr>
          <w:rFonts w:cs="Times New Roman"/>
          <w:i/>
          <w:smallCaps/>
          <w:sz w:val="20"/>
          <w:szCs w:val="20"/>
          <w:lang w:val="pt-BR"/>
        </w:rPr>
        <w:t xml:space="preserve"> </w:t>
      </w:r>
      <w:r w:rsidRPr="00F02A12">
        <w:rPr>
          <w:rFonts w:cs="Times New Roman"/>
          <w:sz w:val="20"/>
          <w:szCs w:val="20"/>
          <w:lang w:val="pt-BR"/>
        </w:rPr>
        <w:t>199 (2011).</w:t>
      </w:r>
    </w:p>
  </w:footnote>
  <w:footnote w:id="110">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Law 6,024 of Mar. 13, 1974, Arts. 36 and 40.</w:t>
      </w:r>
    </w:p>
  </w:footnote>
  <w:footnote w:id="111">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lang w:val="pt-BR"/>
        </w:rPr>
        <w:t xml:space="preserve"> Law 9,447 </w:t>
      </w:r>
      <w:proofErr w:type="spellStart"/>
      <w:r w:rsidRPr="00F02A12">
        <w:rPr>
          <w:sz w:val="20"/>
          <w:szCs w:val="20"/>
          <w:lang w:val="pt-BR"/>
        </w:rPr>
        <w:t>of</w:t>
      </w:r>
      <w:proofErr w:type="spellEnd"/>
      <w:r w:rsidRPr="00F02A12">
        <w:rPr>
          <w:sz w:val="20"/>
          <w:szCs w:val="20"/>
          <w:lang w:val="pt-BR"/>
        </w:rPr>
        <w:t xml:space="preserve"> Mar. 14, 1997.</w:t>
      </w:r>
    </w:p>
  </w:footnote>
  <w:footnote w:id="112">
    <w:p w:rsidR="000373FF" w:rsidRPr="00F02A12" w:rsidRDefault="000373FF" w:rsidP="00F02A12">
      <w:pPr>
        <w:pStyle w:val="justificado"/>
        <w:spacing w:before="0" w:beforeAutospacing="0" w:after="0" w:afterAutospacing="0"/>
        <w:rPr>
          <w:rFonts w:asciiTheme="minorHAnsi" w:hAnsiTheme="minorHAnsi" w:cs="Times New Roman"/>
          <w:i/>
        </w:rPr>
      </w:pPr>
      <w:r w:rsidRPr="00F02A12">
        <w:rPr>
          <w:rStyle w:val="Refdenotaderodap"/>
          <w:rFonts w:asciiTheme="minorHAnsi" w:hAnsiTheme="minorHAnsi" w:cs="Times New Roman"/>
        </w:rPr>
        <w:footnoteRef/>
      </w:r>
      <w:r w:rsidRPr="00F02A12">
        <w:rPr>
          <w:rFonts w:asciiTheme="minorHAnsi" w:hAnsiTheme="minorHAnsi" w:cs="Times New Roman"/>
        </w:rPr>
        <w:t xml:space="preserve"> Gustavo H.B. Franco &amp; Luiz Alberto C. </w:t>
      </w:r>
      <w:proofErr w:type="spellStart"/>
      <w:r w:rsidRPr="00F02A12">
        <w:rPr>
          <w:rFonts w:asciiTheme="minorHAnsi" w:hAnsiTheme="minorHAnsi" w:cs="Times New Roman"/>
        </w:rPr>
        <w:t>Rosman</w:t>
      </w:r>
      <w:proofErr w:type="spellEnd"/>
      <w:r w:rsidRPr="00F02A12">
        <w:rPr>
          <w:rFonts w:asciiTheme="minorHAnsi" w:hAnsiTheme="minorHAnsi" w:cs="Times New Roman"/>
        </w:rPr>
        <w:t xml:space="preserve">, </w:t>
      </w:r>
      <w:r w:rsidRPr="00F02A12">
        <w:rPr>
          <w:rFonts w:asciiTheme="minorHAnsi" w:hAnsiTheme="minorHAnsi" w:cs="Times New Roman"/>
          <w:i/>
        </w:rPr>
        <w:t>A Responsabilidade Ilimitada em Instituições Financeiras no Brasil</w:t>
      </w:r>
      <w:r w:rsidRPr="00F02A12">
        <w:rPr>
          <w:rFonts w:asciiTheme="minorHAnsi" w:hAnsiTheme="minorHAnsi" w:cs="Times New Roman"/>
        </w:rPr>
        <w:t>,</w:t>
      </w:r>
      <w:r w:rsidRPr="00F02A12">
        <w:rPr>
          <w:rFonts w:asciiTheme="minorHAnsi" w:hAnsiTheme="minorHAnsi" w:cs="Times New Roman"/>
          <w:i/>
        </w:rPr>
        <w:t xml:space="preserve"> in </w:t>
      </w:r>
      <w:r w:rsidRPr="00F02A12">
        <w:rPr>
          <w:rFonts w:asciiTheme="minorHAnsi" w:hAnsiTheme="minorHAnsi" w:cs="Times New Roman"/>
          <w:smallCaps/>
        </w:rPr>
        <w:t>A Reforma do Sistema Financeiro Americano: Nova Arquitetura Internacional e o Contexto Regulatório Brasileiro</w:t>
      </w:r>
      <w:r w:rsidRPr="00F02A12">
        <w:rPr>
          <w:rFonts w:asciiTheme="minorHAnsi" w:hAnsiTheme="minorHAnsi" w:cs="Times New Roman"/>
          <w:i/>
        </w:rPr>
        <w:t xml:space="preserve"> </w:t>
      </w:r>
      <w:r w:rsidRPr="00F02A12">
        <w:rPr>
          <w:rFonts w:asciiTheme="minorHAnsi" w:hAnsiTheme="minorHAnsi" w:cs="Times New Roman"/>
        </w:rPr>
        <w:t>(Instituto de Estudos de Política Econômica - Casa das Garças</w:t>
      </w:r>
      <w:r w:rsidRPr="00F02A12">
        <w:rPr>
          <w:rFonts w:asciiTheme="minorHAnsi" w:hAnsiTheme="minorHAnsi" w:cs="Times New Roman"/>
          <w:i/>
        </w:rPr>
        <w:t xml:space="preserve">, </w:t>
      </w:r>
      <w:r w:rsidRPr="00F02A12">
        <w:rPr>
          <w:rFonts w:asciiTheme="minorHAnsi" w:hAnsiTheme="minorHAnsi" w:cs="Times New Roman"/>
        </w:rPr>
        <w:t xml:space="preserve">2009). </w:t>
      </w:r>
      <w:proofErr w:type="spellStart"/>
      <w:r w:rsidRPr="00F02A12">
        <w:rPr>
          <w:rFonts w:asciiTheme="minorHAnsi" w:hAnsiTheme="minorHAnsi" w:cs="Times New Roman"/>
          <w:i/>
        </w:rPr>
        <w:t>See</w:t>
      </w:r>
      <w:proofErr w:type="spellEnd"/>
      <w:r w:rsidRPr="00F02A12">
        <w:rPr>
          <w:rFonts w:asciiTheme="minorHAnsi" w:hAnsiTheme="minorHAnsi" w:cs="Times New Roman"/>
          <w:i/>
        </w:rPr>
        <w:t xml:space="preserve"> </w:t>
      </w:r>
      <w:proofErr w:type="spellStart"/>
      <w:r w:rsidRPr="00F02A12">
        <w:rPr>
          <w:rFonts w:asciiTheme="minorHAnsi" w:hAnsiTheme="minorHAnsi" w:cs="Times New Roman"/>
          <w:i/>
        </w:rPr>
        <w:t>also</w:t>
      </w:r>
      <w:proofErr w:type="spellEnd"/>
      <w:r w:rsidRPr="00F02A12">
        <w:rPr>
          <w:rFonts w:asciiTheme="minorHAnsi" w:hAnsiTheme="minorHAnsi" w:cs="Times New Roman"/>
          <w:i/>
        </w:rPr>
        <w:t xml:space="preserve"> </w:t>
      </w:r>
      <w:r w:rsidRPr="00F02A12">
        <w:rPr>
          <w:rFonts w:asciiTheme="minorHAnsi" w:hAnsiTheme="minorHAnsi" w:cs="Times New Roman"/>
        </w:rPr>
        <w:t xml:space="preserve">note </w:t>
      </w:r>
      <w:r w:rsidRPr="00F02A12">
        <w:fldChar w:fldCharType="begin"/>
      </w:r>
      <w:r w:rsidRPr="00F02A12">
        <w:instrText xml:space="preserve"> NOTEREF _Ref455671114 \h  \* MERGEFORMAT </w:instrText>
      </w:r>
      <w:r w:rsidRPr="00F02A12">
        <w:fldChar w:fldCharType="separate"/>
      </w:r>
      <w:r w:rsidRPr="00DD69EC">
        <w:rPr>
          <w:rFonts w:asciiTheme="minorHAnsi" w:hAnsiTheme="minorHAnsi" w:cs="Times New Roman"/>
        </w:rPr>
        <w:t>217</w:t>
      </w:r>
      <w:r w:rsidRPr="00F02A12">
        <w:fldChar w:fldCharType="end"/>
      </w:r>
      <w:r w:rsidRPr="00F02A12">
        <w:rPr>
          <w:rFonts w:asciiTheme="minorHAnsi" w:hAnsiTheme="minorHAnsi" w:cs="Times New Roman"/>
        </w:rPr>
        <w:t xml:space="preserve"> </w:t>
      </w:r>
      <w:r w:rsidRPr="00F02A12">
        <w:rPr>
          <w:rFonts w:asciiTheme="minorHAnsi" w:hAnsiTheme="minorHAnsi" w:cs="Times New Roman"/>
          <w:i/>
        </w:rPr>
        <w:t>infra</w:t>
      </w:r>
      <w:r w:rsidRPr="00F02A12">
        <w:rPr>
          <w:rFonts w:asciiTheme="minorHAnsi" w:hAnsiTheme="minorHAnsi" w:cs="Times New Roman"/>
        </w:rPr>
        <w:t xml:space="preserve"> </w:t>
      </w:r>
      <w:proofErr w:type="spellStart"/>
      <w:r w:rsidRPr="00F02A12">
        <w:rPr>
          <w:rFonts w:asciiTheme="minorHAnsi" w:hAnsiTheme="minorHAnsi" w:cs="Times New Roman"/>
        </w:rPr>
        <w:t>and</w:t>
      </w:r>
      <w:proofErr w:type="spellEnd"/>
      <w:r w:rsidRPr="00F02A12">
        <w:rPr>
          <w:rFonts w:asciiTheme="minorHAnsi" w:hAnsiTheme="minorHAnsi" w:cs="Times New Roman"/>
        </w:rPr>
        <w:t xml:space="preserve"> </w:t>
      </w:r>
      <w:proofErr w:type="spellStart"/>
      <w:r w:rsidRPr="00F02A12">
        <w:rPr>
          <w:rFonts w:asciiTheme="minorHAnsi" w:hAnsiTheme="minorHAnsi" w:cs="Times New Roman"/>
        </w:rPr>
        <w:t>accompanying</w:t>
      </w:r>
      <w:proofErr w:type="spellEnd"/>
      <w:r w:rsidRPr="00F02A12">
        <w:rPr>
          <w:rFonts w:asciiTheme="minorHAnsi" w:hAnsiTheme="minorHAnsi" w:cs="Times New Roman"/>
        </w:rPr>
        <w:t xml:space="preserve"> </w:t>
      </w:r>
      <w:proofErr w:type="spellStart"/>
      <w:r w:rsidRPr="00F02A12">
        <w:rPr>
          <w:rFonts w:asciiTheme="minorHAnsi" w:hAnsiTheme="minorHAnsi" w:cs="Times New Roman"/>
        </w:rPr>
        <w:t>text</w:t>
      </w:r>
      <w:proofErr w:type="spellEnd"/>
      <w:r w:rsidRPr="00F02A12">
        <w:rPr>
          <w:rFonts w:asciiTheme="minorHAnsi" w:hAnsiTheme="minorHAnsi" w:cs="Times New Roman"/>
        </w:rPr>
        <w:t>.</w:t>
      </w:r>
    </w:p>
  </w:footnote>
  <w:footnote w:id="11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lang w:val="pt-BR"/>
        </w:rPr>
        <w:t xml:space="preserve"> </w:t>
      </w:r>
      <w:r w:rsidRPr="00F02A12">
        <w:rPr>
          <w:rFonts w:cs="Times New Roman"/>
          <w:smallCaps/>
          <w:sz w:val="20"/>
          <w:szCs w:val="20"/>
          <w:lang w:val="pt-BR"/>
        </w:rPr>
        <w:t>Gustavo H.B. Franco, As Leis Secretas da Economia 88 (</w:t>
      </w:r>
      <w:r w:rsidRPr="00F02A12">
        <w:rPr>
          <w:rFonts w:cs="Times New Roman"/>
          <w:sz w:val="20"/>
          <w:szCs w:val="20"/>
          <w:lang w:val="pt-BR"/>
        </w:rPr>
        <w:t xml:space="preserve">2012). </w:t>
      </w:r>
      <w:r w:rsidRPr="00F02A12">
        <w:rPr>
          <w:rFonts w:cs="Times New Roman"/>
          <w:sz w:val="20"/>
          <w:szCs w:val="20"/>
        </w:rPr>
        <w:t xml:space="preserve">Franco articulates, with tongue in cheek, the “Single Law of Prudential Regulation,” according to which “the prudence and diligence of the bank are proportionate to the sum of the liability of the controlling shareholder with the square of the liability of the manager”). </w:t>
      </w:r>
      <w:r w:rsidRPr="00F02A12">
        <w:rPr>
          <w:rFonts w:cs="Times New Roman"/>
          <w:i/>
          <w:sz w:val="20"/>
          <w:szCs w:val="20"/>
        </w:rPr>
        <w:t xml:space="preserve">Id. </w:t>
      </w:r>
      <w:r w:rsidRPr="00F02A12">
        <w:rPr>
          <w:rFonts w:cs="Times New Roman"/>
          <w:sz w:val="20"/>
          <w:szCs w:val="20"/>
        </w:rPr>
        <w:t>at 87.</w:t>
      </w:r>
    </w:p>
  </w:footnote>
  <w:footnote w:id="114">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Banco </w:t>
      </w:r>
      <w:proofErr w:type="spellStart"/>
      <w:r w:rsidRPr="00F02A12">
        <w:rPr>
          <w:sz w:val="20"/>
          <w:szCs w:val="20"/>
        </w:rPr>
        <w:t>PanAmericano</w:t>
      </w:r>
      <w:proofErr w:type="spellEnd"/>
      <w:r w:rsidRPr="00F02A12">
        <w:rPr>
          <w:sz w:val="20"/>
          <w:szCs w:val="20"/>
        </w:rPr>
        <w:t xml:space="preserve">, </w:t>
      </w:r>
      <w:r w:rsidRPr="00F02A12">
        <w:rPr>
          <w:i/>
          <w:sz w:val="20"/>
          <w:szCs w:val="20"/>
        </w:rPr>
        <w:t>Nothing to see here</w:t>
      </w:r>
      <w:r w:rsidRPr="00F02A12">
        <w:rPr>
          <w:sz w:val="20"/>
          <w:szCs w:val="20"/>
        </w:rPr>
        <w:t xml:space="preserve">, </w:t>
      </w:r>
      <w:r w:rsidRPr="00F02A12">
        <w:rPr>
          <w:smallCaps/>
          <w:sz w:val="20"/>
          <w:szCs w:val="20"/>
        </w:rPr>
        <w:t>The Economist</w:t>
      </w:r>
      <w:r w:rsidRPr="00F02A12">
        <w:rPr>
          <w:sz w:val="20"/>
          <w:szCs w:val="20"/>
        </w:rPr>
        <w:t xml:space="preserve">, Nov. 18, 2010. </w:t>
      </w:r>
    </w:p>
  </w:footnote>
  <w:footnote w:id="115">
    <w:p w:rsidR="000373FF" w:rsidRPr="00F02A12" w:rsidRDefault="000373FF" w:rsidP="00F02A12">
      <w:pPr>
        <w:pStyle w:val="Textodenotaderodap"/>
        <w:jc w:val="both"/>
        <w:rPr>
          <w:rFonts w:cs="Times New Roman"/>
          <w:sz w:val="20"/>
          <w:szCs w:val="20"/>
          <w:lang w:val="pt-BR"/>
        </w:rPr>
      </w:pPr>
      <w:r w:rsidRPr="00F02A12">
        <w:rPr>
          <w:rStyle w:val="Refdenotaderodap"/>
          <w:rFonts w:cs="Times New Roman"/>
          <w:sz w:val="20"/>
          <w:szCs w:val="20"/>
        </w:rPr>
        <w:footnoteRef/>
      </w:r>
      <w:r w:rsidRPr="00F02A12">
        <w:rPr>
          <w:rFonts w:cs="Times New Roman"/>
          <w:sz w:val="20"/>
          <w:szCs w:val="20"/>
          <w:lang w:val="pt-BR"/>
        </w:rPr>
        <w:t xml:space="preserve"> Law 8,078 </w:t>
      </w:r>
      <w:proofErr w:type="spellStart"/>
      <w:r w:rsidRPr="00F02A12">
        <w:rPr>
          <w:rFonts w:cs="Times New Roman"/>
          <w:sz w:val="20"/>
          <w:szCs w:val="20"/>
          <w:lang w:val="pt-BR"/>
        </w:rPr>
        <w:t>of</w:t>
      </w:r>
      <w:proofErr w:type="spellEnd"/>
      <w:r w:rsidRPr="00F02A12">
        <w:rPr>
          <w:rFonts w:cs="Times New Roman"/>
          <w:sz w:val="20"/>
          <w:szCs w:val="20"/>
          <w:lang w:val="pt-BR"/>
        </w:rPr>
        <w:t xml:space="preserve"> </w:t>
      </w:r>
      <w:proofErr w:type="spellStart"/>
      <w:r w:rsidRPr="00F02A12">
        <w:rPr>
          <w:rFonts w:cs="Times New Roman"/>
          <w:sz w:val="20"/>
          <w:szCs w:val="20"/>
          <w:lang w:val="pt-BR"/>
        </w:rPr>
        <w:t>Sept</w:t>
      </w:r>
      <w:proofErr w:type="spellEnd"/>
      <w:r w:rsidRPr="00F02A12">
        <w:rPr>
          <w:rFonts w:cs="Times New Roman"/>
          <w:sz w:val="20"/>
          <w:szCs w:val="20"/>
          <w:lang w:val="pt-BR"/>
        </w:rPr>
        <w:t>. 11, 1990.</w:t>
      </w:r>
    </w:p>
  </w:footnote>
  <w:footnote w:id="116">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lang w:val="pt-BR"/>
        </w:rPr>
        <w:t xml:space="preserve"> </w:t>
      </w:r>
      <w:proofErr w:type="spellStart"/>
      <w:r w:rsidRPr="00F02A12">
        <w:rPr>
          <w:i/>
          <w:sz w:val="20"/>
          <w:szCs w:val="20"/>
          <w:lang w:val="pt-BR"/>
        </w:rPr>
        <w:t>See</w:t>
      </w:r>
      <w:proofErr w:type="spellEnd"/>
      <w:r w:rsidRPr="00F02A12">
        <w:rPr>
          <w:sz w:val="20"/>
          <w:szCs w:val="20"/>
          <w:lang w:val="pt-BR"/>
        </w:rPr>
        <w:t xml:space="preserve"> </w:t>
      </w:r>
      <w:r w:rsidRPr="00F02A12">
        <w:rPr>
          <w:smallCaps/>
          <w:sz w:val="20"/>
          <w:szCs w:val="20"/>
          <w:lang w:val="pt-BR"/>
        </w:rPr>
        <w:t xml:space="preserve">Ada Pellegrini </w:t>
      </w:r>
      <w:proofErr w:type="spellStart"/>
      <w:r w:rsidRPr="00F02A12">
        <w:rPr>
          <w:smallCaps/>
          <w:sz w:val="20"/>
          <w:szCs w:val="20"/>
          <w:lang w:val="pt-BR"/>
        </w:rPr>
        <w:t>Grinover</w:t>
      </w:r>
      <w:proofErr w:type="spellEnd"/>
      <w:r w:rsidRPr="00F02A12">
        <w:rPr>
          <w:smallCaps/>
          <w:sz w:val="20"/>
          <w:szCs w:val="20"/>
          <w:lang w:val="pt-BR"/>
        </w:rPr>
        <w:t xml:space="preserve"> et al., Código de Defesa do Consumidor: Comentado pelos Autores do Anteprojeto</w:t>
      </w:r>
      <w:r w:rsidRPr="00F02A12">
        <w:rPr>
          <w:sz w:val="20"/>
          <w:szCs w:val="20"/>
          <w:lang w:val="pt-BR"/>
        </w:rPr>
        <w:t xml:space="preserve"> 237 (8th ed., 2005).</w:t>
      </w:r>
    </w:p>
  </w:footnote>
  <w:footnote w:id="11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Id. </w:t>
      </w:r>
      <w:r w:rsidRPr="00F02A12">
        <w:rPr>
          <w:sz w:val="20"/>
          <w:szCs w:val="20"/>
        </w:rPr>
        <w:t>at 239.</w:t>
      </w:r>
    </w:p>
  </w:footnote>
  <w:footnote w:id="118">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rPr>
        <w:t xml:space="preserve"> See, </w:t>
      </w:r>
      <w:r w:rsidRPr="00F02A12">
        <w:rPr>
          <w:i/>
          <w:sz w:val="20"/>
          <w:szCs w:val="20"/>
        </w:rPr>
        <w:t>e.g.</w:t>
      </w:r>
      <w:r w:rsidRPr="00F02A12">
        <w:rPr>
          <w:sz w:val="20"/>
          <w:szCs w:val="20"/>
        </w:rPr>
        <w:t xml:space="preserve">, STJ, TJ, </w:t>
      </w:r>
      <w:proofErr w:type="spellStart"/>
      <w:r w:rsidRPr="00F02A12">
        <w:rPr>
          <w:sz w:val="20"/>
          <w:szCs w:val="20"/>
        </w:rPr>
        <w:t>AgRg</w:t>
      </w:r>
      <w:proofErr w:type="spellEnd"/>
      <w:r w:rsidRPr="00F02A12">
        <w:rPr>
          <w:sz w:val="20"/>
          <w:szCs w:val="20"/>
        </w:rPr>
        <w:t xml:space="preserve"> no </w:t>
      </w:r>
      <w:proofErr w:type="spellStart"/>
      <w:r w:rsidRPr="00F02A12">
        <w:rPr>
          <w:sz w:val="20"/>
          <w:szCs w:val="20"/>
        </w:rPr>
        <w:t>Resp</w:t>
      </w:r>
      <w:proofErr w:type="spellEnd"/>
      <w:r w:rsidRPr="00F02A12">
        <w:rPr>
          <w:sz w:val="20"/>
          <w:szCs w:val="20"/>
        </w:rPr>
        <w:t xml:space="preserve"> 1.106.072-MS, Rel. Min. Marco </w:t>
      </w:r>
      <w:proofErr w:type="spellStart"/>
      <w:r w:rsidRPr="00F02A12">
        <w:rPr>
          <w:sz w:val="20"/>
          <w:szCs w:val="20"/>
        </w:rPr>
        <w:t>Buzzi</w:t>
      </w:r>
      <w:proofErr w:type="spellEnd"/>
      <w:r w:rsidRPr="00F02A12">
        <w:rPr>
          <w:sz w:val="20"/>
          <w:szCs w:val="20"/>
        </w:rPr>
        <w:t xml:space="preserve">, J. Sep. 02, 2014, D.J. Sep. 18, 2014. For additional precedents involving members of </w:t>
      </w:r>
      <w:proofErr w:type="spellStart"/>
      <w:r w:rsidRPr="00F02A12">
        <w:rPr>
          <w:i/>
          <w:sz w:val="20"/>
          <w:szCs w:val="20"/>
        </w:rPr>
        <w:t>limitadas</w:t>
      </w:r>
      <w:proofErr w:type="spellEnd"/>
      <w:r w:rsidRPr="00F02A12">
        <w:rPr>
          <w:sz w:val="20"/>
          <w:szCs w:val="20"/>
        </w:rPr>
        <w:t xml:space="preserve">, </w:t>
      </w:r>
      <w:r w:rsidRPr="00F02A12">
        <w:rPr>
          <w:i/>
          <w:sz w:val="20"/>
          <w:szCs w:val="20"/>
        </w:rPr>
        <w:t xml:space="preserve">see </w:t>
      </w:r>
      <w:proofErr w:type="spellStart"/>
      <w:r w:rsidRPr="00F02A12">
        <w:rPr>
          <w:sz w:val="20"/>
          <w:szCs w:val="20"/>
        </w:rPr>
        <w:t>REsp</w:t>
      </w:r>
      <w:proofErr w:type="spellEnd"/>
      <w:r w:rsidRPr="00F02A12">
        <w:rPr>
          <w:sz w:val="20"/>
          <w:szCs w:val="20"/>
        </w:rPr>
        <w:t xml:space="preserve"> 1.537.890-RJ, Rel. Min. Paulo de </w:t>
      </w:r>
      <w:proofErr w:type="spellStart"/>
      <w:r w:rsidRPr="00F02A12">
        <w:rPr>
          <w:sz w:val="20"/>
          <w:szCs w:val="20"/>
        </w:rPr>
        <w:t>Tarso</w:t>
      </w:r>
      <w:proofErr w:type="spellEnd"/>
      <w:r w:rsidRPr="00F02A12">
        <w:rPr>
          <w:sz w:val="20"/>
          <w:szCs w:val="20"/>
        </w:rPr>
        <w:t xml:space="preserve"> </w:t>
      </w:r>
      <w:proofErr w:type="spellStart"/>
      <w:r w:rsidRPr="00F02A12">
        <w:rPr>
          <w:sz w:val="20"/>
          <w:szCs w:val="20"/>
        </w:rPr>
        <w:t>Sanseverino</w:t>
      </w:r>
      <w:proofErr w:type="spellEnd"/>
      <w:r w:rsidRPr="00F02A12">
        <w:rPr>
          <w:sz w:val="20"/>
          <w:szCs w:val="20"/>
        </w:rPr>
        <w:t xml:space="preserve">, J. March 08, 2016, D.J. March, 14, 2016; STJ, </w:t>
      </w:r>
      <w:proofErr w:type="spellStart"/>
      <w:r w:rsidRPr="00F02A12">
        <w:rPr>
          <w:sz w:val="20"/>
          <w:szCs w:val="20"/>
        </w:rPr>
        <w:t>REsp</w:t>
      </w:r>
      <w:proofErr w:type="spellEnd"/>
      <w:r w:rsidRPr="00F02A12">
        <w:rPr>
          <w:sz w:val="20"/>
          <w:szCs w:val="20"/>
        </w:rPr>
        <w:t xml:space="preserve"> 1.111.153-RJ, Rel. Min. Luis Felipe </w:t>
      </w:r>
      <w:proofErr w:type="spellStart"/>
      <w:r w:rsidRPr="00F02A12">
        <w:rPr>
          <w:sz w:val="20"/>
          <w:szCs w:val="20"/>
        </w:rPr>
        <w:t>Salomão</w:t>
      </w:r>
      <w:proofErr w:type="spellEnd"/>
      <w:r w:rsidRPr="00F02A12">
        <w:rPr>
          <w:sz w:val="20"/>
          <w:szCs w:val="20"/>
        </w:rPr>
        <w:t xml:space="preserve">, J. Dec. 06, 2012, D.J. Feb. 04, 2013; STJ, </w:t>
      </w:r>
      <w:proofErr w:type="spellStart"/>
      <w:r w:rsidRPr="00F02A12">
        <w:rPr>
          <w:sz w:val="20"/>
          <w:szCs w:val="20"/>
        </w:rPr>
        <w:t>REsp</w:t>
      </w:r>
      <w:proofErr w:type="spellEnd"/>
      <w:r w:rsidRPr="00F02A12">
        <w:rPr>
          <w:sz w:val="20"/>
          <w:szCs w:val="20"/>
        </w:rPr>
        <w:t xml:space="preserve"> 737.000-MG, Rel. </w:t>
      </w:r>
      <w:r w:rsidRPr="00F02A12">
        <w:rPr>
          <w:sz w:val="20"/>
          <w:szCs w:val="20"/>
          <w:lang w:val="pt-BR"/>
        </w:rPr>
        <w:t xml:space="preserve">Min. Paulo de Tarso </w:t>
      </w:r>
      <w:proofErr w:type="spellStart"/>
      <w:r w:rsidRPr="00F02A12">
        <w:rPr>
          <w:sz w:val="20"/>
          <w:szCs w:val="20"/>
          <w:lang w:val="pt-BR"/>
        </w:rPr>
        <w:t>Sanseverino</w:t>
      </w:r>
      <w:proofErr w:type="spellEnd"/>
      <w:r w:rsidRPr="00F02A12">
        <w:rPr>
          <w:sz w:val="20"/>
          <w:szCs w:val="20"/>
          <w:lang w:val="pt-BR"/>
        </w:rPr>
        <w:t>, J. Sep. 01, 2011, D.J. Sep. 09, 2011.</w:t>
      </w:r>
    </w:p>
  </w:footnote>
  <w:footnote w:id="11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proofErr w:type="spellStart"/>
      <w:r w:rsidRPr="00F02A12">
        <w:rPr>
          <w:rFonts w:cs="Times New Roman"/>
          <w:smallCaps/>
          <w:sz w:val="20"/>
          <w:szCs w:val="20"/>
        </w:rPr>
        <w:t>Salama</w:t>
      </w:r>
      <w:proofErr w:type="spellEnd"/>
      <w:r w:rsidRPr="00F02A12">
        <w:rPr>
          <w:rFonts w:cs="Times New Roman"/>
          <w:smallCaps/>
          <w:sz w:val="20"/>
          <w:szCs w:val="20"/>
        </w:rPr>
        <w:t>,</w:t>
      </w:r>
      <w:r w:rsidRPr="00F02A12">
        <w:rPr>
          <w:i/>
          <w:sz w:val="20"/>
          <w:szCs w:val="20"/>
        </w:rPr>
        <w:t xml:space="preserve"> supra </w:t>
      </w:r>
      <w:r w:rsidRPr="00F02A12">
        <w:rPr>
          <w:sz w:val="20"/>
          <w:szCs w:val="20"/>
        </w:rPr>
        <w:t xml:space="preserve">note </w:t>
      </w:r>
      <w:r w:rsidRPr="00F02A12">
        <w:rPr>
          <w:sz w:val="20"/>
          <w:szCs w:val="20"/>
        </w:rPr>
        <w:fldChar w:fldCharType="begin"/>
      </w:r>
      <w:r w:rsidRPr="00F02A12">
        <w:rPr>
          <w:sz w:val="20"/>
          <w:szCs w:val="20"/>
        </w:rPr>
        <w:instrText xml:space="preserve"> NOTEREF _Ref451786219 \h  \* MERGEFORMAT </w:instrText>
      </w:r>
      <w:r w:rsidRPr="00F02A12">
        <w:rPr>
          <w:sz w:val="20"/>
          <w:szCs w:val="20"/>
        </w:rPr>
      </w:r>
      <w:r w:rsidRPr="00F02A12">
        <w:rPr>
          <w:sz w:val="20"/>
          <w:szCs w:val="20"/>
        </w:rPr>
        <w:fldChar w:fldCharType="separate"/>
      </w:r>
      <w:r>
        <w:rPr>
          <w:sz w:val="20"/>
          <w:szCs w:val="20"/>
        </w:rPr>
        <w:t>95</w:t>
      </w:r>
      <w:r w:rsidRPr="00F02A12">
        <w:rPr>
          <w:sz w:val="20"/>
          <w:szCs w:val="20"/>
        </w:rPr>
        <w:fldChar w:fldCharType="end"/>
      </w:r>
    </w:p>
  </w:footnote>
  <w:footnote w:id="120">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Law 9,605 of Feb. 12, 1998, Art. 4.</w:t>
      </w:r>
    </w:p>
  </w:footnote>
  <w:footnote w:id="12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Law 9,847 of Oct. 26, 1999, Art. 18, §</w:t>
      </w:r>
      <w:proofErr w:type="gramStart"/>
      <w:r w:rsidRPr="00F02A12">
        <w:rPr>
          <w:sz w:val="20"/>
          <w:szCs w:val="20"/>
        </w:rPr>
        <w:t>3</w:t>
      </w:r>
      <w:proofErr w:type="gramEnd"/>
      <w:r w:rsidRPr="00F02A12">
        <w:rPr>
          <w:sz w:val="20"/>
          <w:szCs w:val="20"/>
        </w:rPr>
        <w:t>º (permitting veil piercing whenever legal personality “constitutes an obstacle to the compensation of the harm caused to national fuel supply or to the National System of Fuel Stocks”).</w:t>
      </w:r>
    </w:p>
  </w:footnote>
  <w:footnote w:id="122">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On the international repercussion of this disaster, </w:t>
      </w:r>
      <w:r w:rsidRPr="00F02A12">
        <w:rPr>
          <w:i/>
          <w:sz w:val="20"/>
          <w:szCs w:val="20"/>
        </w:rPr>
        <w:t xml:space="preserve">see </w:t>
      </w:r>
      <w:r w:rsidRPr="00F02A12">
        <w:rPr>
          <w:sz w:val="20"/>
          <w:szCs w:val="20"/>
        </w:rPr>
        <w:t xml:space="preserve">Alex MacDonald, Justin Scheck &amp; Rhiannon Hoyle, </w:t>
      </w:r>
      <w:proofErr w:type="spellStart"/>
      <w:r w:rsidRPr="00F02A12">
        <w:rPr>
          <w:i/>
          <w:sz w:val="20"/>
          <w:szCs w:val="20"/>
        </w:rPr>
        <w:t>Samarco</w:t>
      </w:r>
      <w:proofErr w:type="spellEnd"/>
      <w:r w:rsidRPr="00F02A12">
        <w:rPr>
          <w:i/>
          <w:sz w:val="20"/>
          <w:szCs w:val="20"/>
        </w:rPr>
        <w:t xml:space="preserve"> May Not Shield BHP, </w:t>
      </w:r>
      <w:proofErr w:type="gramStart"/>
      <w:r w:rsidRPr="00F02A12">
        <w:rPr>
          <w:i/>
          <w:sz w:val="20"/>
          <w:szCs w:val="20"/>
        </w:rPr>
        <w:t>Vale</w:t>
      </w:r>
      <w:proofErr w:type="gramEnd"/>
      <w:r w:rsidRPr="00F02A12">
        <w:rPr>
          <w:i/>
          <w:sz w:val="20"/>
          <w:szCs w:val="20"/>
        </w:rPr>
        <w:t xml:space="preserve"> from Brazil Dam-Breach Repercussions</w:t>
      </w:r>
      <w:r w:rsidRPr="00F02A12">
        <w:rPr>
          <w:sz w:val="20"/>
          <w:szCs w:val="20"/>
        </w:rPr>
        <w:t xml:space="preserve">, </w:t>
      </w:r>
      <w:r w:rsidRPr="00F02A12">
        <w:rPr>
          <w:smallCaps/>
          <w:sz w:val="20"/>
          <w:szCs w:val="20"/>
        </w:rPr>
        <w:t>Wall St. J.,</w:t>
      </w:r>
      <w:r w:rsidRPr="00F02A12">
        <w:rPr>
          <w:sz w:val="20"/>
          <w:szCs w:val="20"/>
        </w:rPr>
        <w:t xml:space="preserve"> Nov. 11, 2015.</w:t>
      </w:r>
      <w:r w:rsidRPr="00F02A12">
        <w:rPr>
          <w:i/>
          <w:sz w:val="20"/>
          <w:szCs w:val="20"/>
        </w:rPr>
        <w:t xml:space="preserve"> </w:t>
      </w:r>
    </w:p>
  </w:footnote>
  <w:footnote w:id="12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Art. 266. This is irrespective of the standards governing related-party transactions within formal or de facto groups.</w:t>
      </w:r>
    </w:p>
  </w:footnote>
  <w:footnote w:id="124">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Law 8,212 of July 24, 1991, Art. </w:t>
      </w:r>
      <w:proofErr w:type="gramStart"/>
      <w:r w:rsidRPr="00F02A12">
        <w:rPr>
          <w:sz w:val="20"/>
          <w:szCs w:val="20"/>
        </w:rPr>
        <w:t>30</w:t>
      </w:r>
      <w:proofErr w:type="gramEnd"/>
      <w:r w:rsidRPr="00F02A12">
        <w:rPr>
          <w:sz w:val="20"/>
          <w:szCs w:val="20"/>
        </w:rPr>
        <w:t xml:space="preserve">, IX.  </w:t>
      </w:r>
    </w:p>
  </w:footnote>
  <w:footnote w:id="125">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Law 5,172 of Oct. 25, 1966, Art. </w:t>
      </w:r>
      <w:proofErr w:type="gramStart"/>
      <w:r w:rsidRPr="00F02A12">
        <w:rPr>
          <w:sz w:val="20"/>
          <w:szCs w:val="20"/>
        </w:rPr>
        <w:t>124</w:t>
      </w:r>
      <w:proofErr w:type="gramEnd"/>
      <w:r w:rsidRPr="00F02A12">
        <w:rPr>
          <w:sz w:val="20"/>
          <w:szCs w:val="20"/>
        </w:rPr>
        <w:t xml:space="preserve">, I.  </w:t>
      </w:r>
      <w:r w:rsidRPr="00F02A12">
        <w:rPr>
          <w:i/>
          <w:sz w:val="20"/>
          <w:szCs w:val="20"/>
        </w:rPr>
        <w:t>See</w:t>
      </w:r>
      <w:r w:rsidRPr="00F02A12">
        <w:rPr>
          <w:sz w:val="20"/>
          <w:szCs w:val="20"/>
        </w:rPr>
        <w:t xml:space="preserve">, </w:t>
      </w:r>
      <w:r w:rsidRPr="00F02A12">
        <w:rPr>
          <w:i/>
          <w:sz w:val="20"/>
          <w:szCs w:val="20"/>
        </w:rPr>
        <w:t>e.g.</w:t>
      </w:r>
      <w:r w:rsidRPr="00F02A12">
        <w:rPr>
          <w:sz w:val="20"/>
          <w:szCs w:val="20"/>
        </w:rPr>
        <w:t xml:space="preserve">, </w:t>
      </w:r>
      <w:r w:rsidRPr="00F02A12">
        <w:rPr>
          <w:rFonts w:cs="Arial"/>
          <w:bCs/>
          <w:sz w:val="20"/>
          <w:szCs w:val="20"/>
        </w:rPr>
        <w:t xml:space="preserve">STJ, </w:t>
      </w:r>
      <w:proofErr w:type="spellStart"/>
      <w:r w:rsidRPr="00F02A12">
        <w:rPr>
          <w:rFonts w:cs="Arial"/>
          <w:bCs/>
          <w:sz w:val="20"/>
          <w:szCs w:val="20"/>
        </w:rPr>
        <w:t>AgRg</w:t>
      </w:r>
      <w:proofErr w:type="spellEnd"/>
      <w:r w:rsidRPr="00F02A12">
        <w:rPr>
          <w:rFonts w:cs="Arial"/>
          <w:bCs/>
          <w:sz w:val="20"/>
          <w:szCs w:val="20"/>
        </w:rPr>
        <w:t xml:space="preserve"> no </w:t>
      </w:r>
      <w:proofErr w:type="spellStart"/>
      <w:r w:rsidRPr="00F02A12">
        <w:rPr>
          <w:rFonts w:cs="Arial"/>
          <w:bCs/>
          <w:sz w:val="20"/>
          <w:szCs w:val="20"/>
        </w:rPr>
        <w:t>AREsp</w:t>
      </w:r>
      <w:proofErr w:type="spellEnd"/>
      <w:r w:rsidRPr="00F02A12">
        <w:rPr>
          <w:rFonts w:cs="Arial"/>
          <w:bCs/>
          <w:sz w:val="20"/>
          <w:szCs w:val="20"/>
        </w:rPr>
        <w:t xml:space="preserve"> 495.233-PE, Rel. Min. Humberto Martins, J. May 27, 2015, D.J. June 2, 2015; STJ, </w:t>
      </w:r>
      <w:proofErr w:type="spellStart"/>
      <w:r w:rsidRPr="00F02A12">
        <w:rPr>
          <w:rFonts w:cs="Arial"/>
          <w:bCs/>
          <w:sz w:val="20"/>
          <w:szCs w:val="20"/>
        </w:rPr>
        <w:t>AgRg</w:t>
      </w:r>
      <w:proofErr w:type="spellEnd"/>
      <w:r w:rsidRPr="00F02A12">
        <w:rPr>
          <w:rFonts w:cs="Arial"/>
          <w:bCs/>
          <w:sz w:val="20"/>
          <w:szCs w:val="20"/>
        </w:rPr>
        <w:t xml:space="preserve"> no </w:t>
      </w:r>
      <w:proofErr w:type="spellStart"/>
      <w:r w:rsidRPr="00F02A12">
        <w:rPr>
          <w:rFonts w:cs="Arial"/>
          <w:bCs/>
          <w:sz w:val="20"/>
          <w:szCs w:val="20"/>
        </w:rPr>
        <w:t>REsp</w:t>
      </w:r>
      <w:proofErr w:type="spellEnd"/>
      <w:r w:rsidRPr="00F02A12">
        <w:rPr>
          <w:rFonts w:cs="Arial"/>
          <w:bCs/>
          <w:sz w:val="20"/>
          <w:szCs w:val="20"/>
        </w:rPr>
        <w:t xml:space="preserve"> 1.433.631-PE, Rel. Min. Humberto Martins, J. March 10, 2015, D.J. March 13, 2015; STJ, </w:t>
      </w:r>
      <w:proofErr w:type="spellStart"/>
      <w:r w:rsidRPr="00F02A12">
        <w:rPr>
          <w:rFonts w:cs="Arial"/>
          <w:bCs/>
          <w:sz w:val="20"/>
          <w:szCs w:val="20"/>
        </w:rPr>
        <w:t>AgRg</w:t>
      </w:r>
      <w:proofErr w:type="spellEnd"/>
      <w:r w:rsidRPr="00F02A12">
        <w:rPr>
          <w:rFonts w:cs="Arial"/>
          <w:bCs/>
          <w:sz w:val="20"/>
          <w:szCs w:val="20"/>
        </w:rPr>
        <w:t xml:space="preserve"> no </w:t>
      </w:r>
      <w:proofErr w:type="spellStart"/>
      <w:r w:rsidRPr="00F02A12">
        <w:rPr>
          <w:rFonts w:cs="Arial"/>
          <w:bCs/>
          <w:sz w:val="20"/>
          <w:szCs w:val="20"/>
        </w:rPr>
        <w:t>AREsp</w:t>
      </w:r>
      <w:proofErr w:type="spellEnd"/>
      <w:r w:rsidRPr="00F02A12">
        <w:rPr>
          <w:rFonts w:cs="Arial"/>
          <w:bCs/>
          <w:sz w:val="20"/>
          <w:szCs w:val="20"/>
        </w:rPr>
        <w:t xml:space="preserve"> 520.056-SP, Rel. Min. Herman Benjamin, J. Sep. 16, 2014, D.J. Oct. 10, 2014.</w:t>
      </w:r>
      <w:r w:rsidRPr="00F02A12">
        <w:rPr>
          <w:rFonts w:cs="Arial"/>
          <w:b/>
          <w:bCs/>
          <w:color w:val="555555"/>
          <w:sz w:val="20"/>
          <w:szCs w:val="20"/>
        </w:rPr>
        <w:t> </w:t>
      </w:r>
    </w:p>
  </w:footnote>
  <w:footnote w:id="12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Law 12,529 of Nov. 30, 2011, Arts. 33 and 34 “Art. 34. The company responsible for a violation of the economic order may have its corporate veil pierced, upon abuse of rights, abuse of power, violation of law, illegal act or fact, or violation of the bylaws or articles of association. Sole paragraph. The corporate veil may also be pierced in case of bankruptcy, insolvency, closure or downtime caused by poor corporate administration.” </w:t>
      </w:r>
    </w:p>
  </w:footnote>
  <w:footnote w:id="127">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Law 12,846 of Aug. 1, 2013, Art. </w:t>
      </w:r>
      <w:bookmarkStart w:id="23" w:name="art4§2"/>
      <w:bookmarkEnd w:id="23"/>
      <w:proofErr w:type="gramStart"/>
      <w:r w:rsidRPr="00F02A12">
        <w:rPr>
          <w:rFonts w:cs="Times New Roman"/>
          <w:sz w:val="20"/>
          <w:szCs w:val="20"/>
        </w:rPr>
        <w:t>4</w:t>
      </w:r>
      <w:proofErr w:type="gramEnd"/>
      <w:r w:rsidRPr="00F02A12">
        <w:rPr>
          <w:rFonts w:cs="Times New Roman"/>
          <w:sz w:val="20"/>
          <w:szCs w:val="20"/>
        </w:rPr>
        <w:t xml:space="preserve">º, </w:t>
      </w:r>
      <w:r w:rsidRPr="00F02A12">
        <w:rPr>
          <w:rFonts w:cs="Times New Roman"/>
          <w:color w:val="000000"/>
          <w:sz w:val="20"/>
          <w:szCs w:val="20"/>
        </w:rPr>
        <w:t>§ 2</w:t>
      </w:r>
      <w:r w:rsidRPr="00F02A12">
        <w:rPr>
          <w:rFonts w:cs="Times New Roman"/>
          <w:color w:val="000000"/>
          <w:sz w:val="20"/>
          <w:szCs w:val="20"/>
          <w:u w:val="single"/>
          <w:vertAlign w:val="superscript"/>
        </w:rPr>
        <w:t>o</w:t>
      </w:r>
      <w:r w:rsidRPr="00F02A12">
        <w:rPr>
          <w:rFonts w:cs="Times New Roman"/>
          <w:sz w:val="20"/>
          <w:szCs w:val="20"/>
        </w:rPr>
        <w:t>.</w:t>
      </w:r>
    </w:p>
  </w:footnote>
  <w:footnote w:id="128">
    <w:p w:rsidR="000373FF" w:rsidRPr="00F02A12" w:rsidRDefault="000373FF" w:rsidP="00F02A12">
      <w:pPr>
        <w:pStyle w:val="Textodenotaderodap"/>
        <w:jc w:val="both"/>
        <w:rPr>
          <w:rFonts w:cs="Times New Roman"/>
          <w:sz w:val="20"/>
          <w:szCs w:val="20"/>
          <w:lang w:val="pt-BR"/>
        </w:rPr>
      </w:pPr>
      <w:r w:rsidRPr="00F02A12">
        <w:rPr>
          <w:rStyle w:val="Refdenotaderodap"/>
          <w:rFonts w:cs="Times New Roman"/>
          <w:sz w:val="20"/>
          <w:szCs w:val="20"/>
        </w:rPr>
        <w:footnoteRef/>
      </w:r>
      <w:r w:rsidRPr="00F02A12">
        <w:rPr>
          <w:rFonts w:cs="Times New Roman"/>
          <w:sz w:val="20"/>
          <w:szCs w:val="20"/>
          <w:lang w:val="pt-BR"/>
        </w:rPr>
        <w:t xml:space="preserve"> LSA, Art. 243, § 1 º.</w:t>
      </w:r>
    </w:p>
  </w:footnote>
  <w:footnote w:id="129">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lang w:val="pt-BR"/>
        </w:rPr>
        <w:t xml:space="preserve"> Anna Beatriz Alves </w:t>
      </w:r>
      <w:proofErr w:type="spellStart"/>
      <w:r w:rsidRPr="00F02A12">
        <w:rPr>
          <w:sz w:val="20"/>
          <w:szCs w:val="20"/>
          <w:lang w:val="pt-BR"/>
        </w:rPr>
        <w:t>Margoni</w:t>
      </w:r>
      <w:proofErr w:type="spellEnd"/>
      <w:r w:rsidRPr="00F02A12">
        <w:rPr>
          <w:sz w:val="20"/>
          <w:szCs w:val="20"/>
          <w:lang w:val="pt-BR"/>
        </w:rPr>
        <w:t xml:space="preserve">, </w:t>
      </w:r>
      <w:r w:rsidRPr="00F02A12">
        <w:rPr>
          <w:i/>
          <w:sz w:val="20"/>
          <w:szCs w:val="20"/>
          <w:lang w:val="pt-BR"/>
        </w:rPr>
        <w:t>A Desconsideração da Personalidade Jurídica nos Grupos de Sociedades</w:t>
      </w:r>
      <w:r w:rsidRPr="00F02A12">
        <w:rPr>
          <w:sz w:val="20"/>
          <w:szCs w:val="20"/>
          <w:lang w:val="pt-BR"/>
        </w:rPr>
        <w:t xml:space="preserve"> (2011) (</w:t>
      </w:r>
      <w:proofErr w:type="spellStart"/>
      <w:r w:rsidRPr="00F02A12">
        <w:rPr>
          <w:sz w:val="20"/>
          <w:szCs w:val="20"/>
          <w:lang w:val="pt-BR"/>
        </w:rPr>
        <w:t>unpublished</w:t>
      </w:r>
      <w:proofErr w:type="spellEnd"/>
      <w:r w:rsidRPr="00F02A12">
        <w:rPr>
          <w:sz w:val="20"/>
          <w:szCs w:val="20"/>
          <w:lang w:val="pt-BR"/>
        </w:rPr>
        <w:t xml:space="preserve"> </w:t>
      </w:r>
      <w:proofErr w:type="spellStart"/>
      <w:r w:rsidRPr="00F02A12">
        <w:rPr>
          <w:sz w:val="20"/>
          <w:szCs w:val="20"/>
          <w:lang w:val="pt-BR"/>
        </w:rPr>
        <w:t>master’s</w:t>
      </w:r>
      <w:proofErr w:type="spellEnd"/>
      <w:r w:rsidRPr="00F02A12">
        <w:rPr>
          <w:sz w:val="20"/>
          <w:szCs w:val="20"/>
          <w:lang w:val="pt-BR"/>
        </w:rPr>
        <w:t xml:space="preserve"> </w:t>
      </w:r>
      <w:proofErr w:type="spellStart"/>
      <w:r w:rsidRPr="00F02A12">
        <w:rPr>
          <w:sz w:val="20"/>
          <w:szCs w:val="20"/>
          <w:lang w:val="pt-BR"/>
        </w:rPr>
        <w:t>thesis</w:t>
      </w:r>
      <w:proofErr w:type="spellEnd"/>
      <w:r w:rsidRPr="00F02A12">
        <w:rPr>
          <w:sz w:val="20"/>
          <w:szCs w:val="20"/>
          <w:lang w:val="pt-BR"/>
        </w:rPr>
        <w:t xml:space="preserve">), </w:t>
      </w:r>
      <w:hyperlink r:id="rId7" w:history="1">
        <w:r w:rsidRPr="00F02A12">
          <w:rPr>
            <w:rStyle w:val="Hyperlink"/>
            <w:sz w:val="20"/>
            <w:szCs w:val="20"/>
            <w:lang w:val="pt-BR"/>
          </w:rPr>
          <w:t>http://www.teses.usp.br/teses/disponiveis/2/2132/tde-04072012-113122/publico/Dissertacao_Anna_Beatriz_Alves_Margoni_Versao_Integral.pdf</w:t>
        </w:r>
      </w:hyperlink>
      <w:r w:rsidRPr="00F02A12">
        <w:rPr>
          <w:sz w:val="20"/>
          <w:szCs w:val="20"/>
          <w:lang w:val="pt-BR"/>
        </w:rPr>
        <w:t xml:space="preserve">.  </w:t>
      </w:r>
    </w:p>
  </w:footnote>
  <w:footnote w:id="130">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Sunny Singh, </w:t>
      </w:r>
      <w:r w:rsidRPr="00F02A12">
        <w:rPr>
          <w:i/>
          <w:sz w:val="20"/>
          <w:szCs w:val="20"/>
        </w:rPr>
        <w:t>Brazilian Reorganization Plan: Fundamentally Fair or Wholesale Trampling of Creditors’ Rights</w:t>
      </w:r>
      <w:proofErr w:type="gramStart"/>
      <w:r w:rsidRPr="00F02A12">
        <w:rPr>
          <w:i/>
          <w:sz w:val="20"/>
          <w:szCs w:val="20"/>
        </w:rPr>
        <w:t>?</w:t>
      </w:r>
      <w:r w:rsidRPr="00F02A12">
        <w:rPr>
          <w:sz w:val="20"/>
          <w:szCs w:val="20"/>
        </w:rPr>
        <w:t>,</w:t>
      </w:r>
      <w:proofErr w:type="gramEnd"/>
      <w:r w:rsidRPr="00F02A12">
        <w:rPr>
          <w:sz w:val="20"/>
          <w:szCs w:val="20"/>
        </w:rPr>
        <w:t xml:space="preserve"> Weil Bankruptcy Blog, Oct. 9, 2014. </w:t>
      </w:r>
    </w:p>
  </w:footnote>
  <w:footnote w:id="131">
    <w:p w:rsidR="000373FF" w:rsidRPr="00F02A12" w:rsidRDefault="000373FF" w:rsidP="00F02A12">
      <w:pPr>
        <w:shd w:val="clear" w:color="auto" w:fill="FFFFFF"/>
        <w:spacing w:after="0" w:line="240" w:lineRule="auto"/>
        <w:jc w:val="both"/>
        <w:rPr>
          <w:sz w:val="20"/>
          <w:szCs w:val="20"/>
          <w:lang w:val="en-US"/>
        </w:rPr>
      </w:pPr>
      <w:r w:rsidRPr="00F02A12">
        <w:rPr>
          <w:rStyle w:val="Refdenotaderodap"/>
          <w:sz w:val="20"/>
          <w:szCs w:val="20"/>
        </w:rPr>
        <w:footnoteRef/>
      </w:r>
      <w:r w:rsidRPr="00F02A12">
        <w:rPr>
          <w:sz w:val="20"/>
          <w:szCs w:val="20"/>
          <w:lang w:val="en-US"/>
        </w:rPr>
        <w:t xml:space="preserve"> </w:t>
      </w:r>
      <w:r w:rsidRPr="00F02A12">
        <w:rPr>
          <w:i/>
          <w:sz w:val="20"/>
          <w:szCs w:val="20"/>
          <w:lang w:val="en-US"/>
        </w:rPr>
        <w:t>Id.</w:t>
      </w:r>
      <w:r w:rsidRPr="00F02A12">
        <w:rPr>
          <w:sz w:val="20"/>
          <w:szCs w:val="20"/>
          <w:lang w:val="en-US"/>
        </w:rPr>
        <w:t xml:space="preserve"> </w:t>
      </w:r>
      <w:r w:rsidRPr="00F02A12">
        <w:rPr>
          <w:i/>
          <w:sz w:val="20"/>
          <w:szCs w:val="20"/>
          <w:lang w:val="en-US"/>
        </w:rPr>
        <w:t xml:space="preserve">In re </w:t>
      </w:r>
      <w:proofErr w:type="spellStart"/>
      <w:r w:rsidRPr="00F02A12">
        <w:rPr>
          <w:i/>
          <w:sz w:val="20"/>
          <w:szCs w:val="20"/>
          <w:lang w:val="en-US"/>
        </w:rPr>
        <w:t>Rede</w:t>
      </w:r>
      <w:proofErr w:type="spellEnd"/>
      <w:r w:rsidRPr="00F02A12">
        <w:rPr>
          <w:i/>
          <w:sz w:val="20"/>
          <w:szCs w:val="20"/>
          <w:lang w:val="en-US"/>
        </w:rPr>
        <w:t xml:space="preserve"> </w:t>
      </w:r>
      <w:proofErr w:type="spellStart"/>
      <w:r w:rsidRPr="00F02A12">
        <w:rPr>
          <w:i/>
          <w:sz w:val="20"/>
          <w:szCs w:val="20"/>
          <w:lang w:val="en-US"/>
        </w:rPr>
        <w:t>Energia</w:t>
      </w:r>
      <w:proofErr w:type="spellEnd"/>
      <w:r w:rsidRPr="00F02A12">
        <w:rPr>
          <w:i/>
          <w:sz w:val="20"/>
          <w:szCs w:val="20"/>
          <w:lang w:val="en-US"/>
        </w:rPr>
        <w:t xml:space="preserve"> S.A.</w:t>
      </w:r>
      <w:r w:rsidRPr="00F02A12">
        <w:rPr>
          <w:sz w:val="20"/>
          <w:szCs w:val="20"/>
          <w:lang w:val="en-US"/>
        </w:rPr>
        <w:t>, U.S. Bankruptcy Court for the Southern District of New York Judge Shelley C. Chapman, Aug. 27, 2013</w:t>
      </w:r>
      <w:r w:rsidRPr="00F02A12">
        <w:rPr>
          <w:rFonts w:cs="Arial"/>
          <w:color w:val="333333"/>
          <w:sz w:val="20"/>
          <w:szCs w:val="20"/>
          <w:lang w:val="en-US"/>
        </w:rPr>
        <w:t>.</w:t>
      </w:r>
    </w:p>
  </w:footnote>
  <w:footnote w:id="132">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lang w:val="pt-BR"/>
        </w:rPr>
        <w:t xml:space="preserve"> TJRJ, AI 0064658-77.2013.8.19.0000, Rel. Des. Gilberto Campista </w:t>
      </w:r>
      <w:proofErr w:type="spellStart"/>
      <w:r w:rsidRPr="00F02A12">
        <w:rPr>
          <w:sz w:val="20"/>
          <w:szCs w:val="20"/>
          <w:lang w:val="pt-BR"/>
        </w:rPr>
        <w:t>Guarino</w:t>
      </w:r>
      <w:proofErr w:type="spellEnd"/>
      <w:r w:rsidRPr="00F02A12">
        <w:rPr>
          <w:sz w:val="20"/>
          <w:szCs w:val="20"/>
          <w:lang w:val="pt-BR"/>
        </w:rPr>
        <w:t xml:space="preserve">, J. Dec. 3, 2013.  </w:t>
      </w:r>
    </w:p>
  </w:footnote>
  <w:footnote w:id="13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See</w:t>
      </w:r>
      <w:r w:rsidRPr="00F02A12">
        <w:rPr>
          <w:sz w:val="20"/>
          <w:szCs w:val="20"/>
        </w:rPr>
        <w:t xml:space="preserve">, </w:t>
      </w:r>
      <w:r w:rsidRPr="00F02A12">
        <w:rPr>
          <w:i/>
          <w:sz w:val="20"/>
          <w:szCs w:val="20"/>
        </w:rPr>
        <w:t>e.g.</w:t>
      </w:r>
      <w:r w:rsidRPr="00F02A12">
        <w:rPr>
          <w:sz w:val="20"/>
          <w:szCs w:val="20"/>
        </w:rPr>
        <w:t xml:space="preserve">, STJ, </w:t>
      </w:r>
      <w:proofErr w:type="spellStart"/>
      <w:r w:rsidRPr="00F02A12">
        <w:rPr>
          <w:sz w:val="20"/>
          <w:szCs w:val="20"/>
        </w:rPr>
        <w:t>REsp</w:t>
      </w:r>
      <w:proofErr w:type="spellEnd"/>
      <w:r w:rsidRPr="00F02A12">
        <w:rPr>
          <w:sz w:val="20"/>
          <w:szCs w:val="20"/>
        </w:rPr>
        <w:t xml:space="preserve"> 1.141.977-SC, Rel. Min. </w:t>
      </w:r>
      <w:proofErr w:type="spellStart"/>
      <w:r w:rsidRPr="00F02A12">
        <w:rPr>
          <w:sz w:val="20"/>
          <w:szCs w:val="20"/>
        </w:rPr>
        <w:t>Benedito</w:t>
      </w:r>
      <w:proofErr w:type="spellEnd"/>
      <w:r w:rsidRPr="00F02A12">
        <w:rPr>
          <w:sz w:val="20"/>
          <w:szCs w:val="20"/>
        </w:rPr>
        <w:t xml:space="preserve"> </w:t>
      </w:r>
      <w:proofErr w:type="spellStart"/>
      <w:r w:rsidRPr="00F02A12">
        <w:rPr>
          <w:sz w:val="20"/>
          <w:szCs w:val="20"/>
        </w:rPr>
        <w:t>Gonçalves</w:t>
      </w:r>
      <w:proofErr w:type="spellEnd"/>
      <w:r w:rsidRPr="00F02A12">
        <w:rPr>
          <w:sz w:val="20"/>
          <w:szCs w:val="20"/>
        </w:rPr>
        <w:t xml:space="preserve">, J. Oct. 21, 2010, D.J. Nov. 04, 2010; STJ, </w:t>
      </w:r>
      <w:proofErr w:type="spellStart"/>
      <w:r w:rsidRPr="00F02A12">
        <w:rPr>
          <w:sz w:val="20"/>
          <w:szCs w:val="20"/>
        </w:rPr>
        <w:t>REsp</w:t>
      </w:r>
      <w:proofErr w:type="spellEnd"/>
      <w:r w:rsidRPr="00F02A12">
        <w:rPr>
          <w:sz w:val="20"/>
          <w:szCs w:val="20"/>
        </w:rPr>
        <w:t xml:space="preserve"> 849.535-RS, Rel. Min. José Delgado, J. Oct. 05, 2006, D.J. Nov. 05, 2006; STJ, </w:t>
      </w:r>
      <w:proofErr w:type="spellStart"/>
      <w:r w:rsidRPr="00F02A12">
        <w:rPr>
          <w:sz w:val="20"/>
          <w:szCs w:val="20"/>
        </w:rPr>
        <w:t>REsp</w:t>
      </w:r>
      <w:proofErr w:type="spellEnd"/>
      <w:r w:rsidRPr="00F02A12">
        <w:rPr>
          <w:sz w:val="20"/>
          <w:szCs w:val="20"/>
        </w:rPr>
        <w:t xml:space="preserve"> 296.304-SP, Rel. Min. Francisco </w:t>
      </w:r>
      <w:proofErr w:type="spellStart"/>
      <w:r w:rsidRPr="00F02A12">
        <w:rPr>
          <w:sz w:val="20"/>
          <w:szCs w:val="20"/>
        </w:rPr>
        <w:t>Peçanha</w:t>
      </w:r>
      <w:proofErr w:type="spellEnd"/>
      <w:r w:rsidRPr="00F02A12">
        <w:rPr>
          <w:sz w:val="20"/>
          <w:szCs w:val="20"/>
        </w:rPr>
        <w:t xml:space="preserve"> Martins, J. May 20, 2003, D.J. Nov. 01, 2003.</w:t>
      </w:r>
    </w:p>
  </w:footnote>
  <w:footnote w:id="134">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The expression comes from </w:t>
      </w:r>
      <w:proofErr w:type="spellStart"/>
      <w:proofErr w:type="gramStart"/>
      <w:r w:rsidRPr="00F02A12">
        <w:rPr>
          <w:smallCaps/>
          <w:sz w:val="20"/>
          <w:szCs w:val="20"/>
        </w:rPr>
        <w:t>Salama</w:t>
      </w:r>
      <w:proofErr w:type="spellEnd"/>
      <w:r w:rsidRPr="00F02A12">
        <w:rPr>
          <w:sz w:val="20"/>
          <w:szCs w:val="20"/>
        </w:rPr>
        <w:t>,</w:t>
      </w:r>
      <w:proofErr w:type="gramEnd"/>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_Ref451786219 \h  \* MERGEFORMAT </w:instrText>
      </w:r>
      <w:r w:rsidRPr="00F02A12">
        <w:rPr>
          <w:sz w:val="20"/>
          <w:szCs w:val="20"/>
        </w:rPr>
      </w:r>
      <w:r w:rsidRPr="00F02A12">
        <w:rPr>
          <w:sz w:val="20"/>
          <w:szCs w:val="20"/>
        </w:rPr>
        <w:fldChar w:fldCharType="separate"/>
      </w:r>
      <w:r>
        <w:rPr>
          <w:sz w:val="20"/>
          <w:szCs w:val="20"/>
        </w:rPr>
        <w:t>95</w:t>
      </w:r>
      <w:r w:rsidRPr="00F02A12">
        <w:rPr>
          <w:sz w:val="20"/>
          <w:szCs w:val="20"/>
        </w:rPr>
        <w:fldChar w:fldCharType="end"/>
      </w:r>
      <w:r w:rsidRPr="00F02A12">
        <w:rPr>
          <w:sz w:val="20"/>
          <w:szCs w:val="20"/>
        </w:rPr>
        <w:t>, at 185.</w:t>
      </w:r>
    </w:p>
  </w:footnote>
  <w:footnote w:id="135">
    <w:p w:rsidR="000373FF" w:rsidRPr="00F02A12" w:rsidRDefault="000373FF" w:rsidP="00F02A12">
      <w:pPr>
        <w:pStyle w:val="Textodenotaderodap"/>
        <w:jc w:val="both"/>
        <w:rPr>
          <w:b/>
          <w:sz w:val="20"/>
          <w:szCs w:val="20"/>
          <w:lang w:val="pt-BR"/>
        </w:rPr>
      </w:pPr>
      <w:r w:rsidRPr="00F02A12">
        <w:rPr>
          <w:rStyle w:val="Refdenotaderodap"/>
          <w:sz w:val="20"/>
          <w:szCs w:val="20"/>
        </w:rPr>
        <w:footnoteRef/>
      </w:r>
      <w:r w:rsidRPr="00F02A12">
        <w:rPr>
          <w:sz w:val="20"/>
          <w:szCs w:val="20"/>
        </w:rPr>
        <w:t xml:space="preserve"> TST, AIRR-1365-56.2011.5.02.0444, 1ª </w:t>
      </w:r>
      <w:proofErr w:type="spellStart"/>
      <w:r w:rsidRPr="00F02A12">
        <w:rPr>
          <w:sz w:val="20"/>
          <w:szCs w:val="20"/>
        </w:rPr>
        <w:t>Turma</w:t>
      </w:r>
      <w:proofErr w:type="spellEnd"/>
      <w:r w:rsidRPr="00F02A12">
        <w:rPr>
          <w:sz w:val="20"/>
          <w:szCs w:val="20"/>
        </w:rPr>
        <w:t xml:space="preserve">, Rel. </w:t>
      </w:r>
      <w:r w:rsidRPr="000373FF">
        <w:rPr>
          <w:sz w:val="20"/>
          <w:szCs w:val="20"/>
        </w:rPr>
        <w:t xml:space="preserve">Min. Lelio Bentes Corrêa, J. Aug. 21, 2013. </w:t>
      </w:r>
      <w:proofErr w:type="spellStart"/>
      <w:r w:rsidRPr="00D70F62">
        <w:rPr>
          <w:i/>
          <w:sz w:val="20"/>
          <w:szCs w:val="20"/>
          <w:lang w:val="pt-BR"/>
        </w:rPr>
        <w:t>See</w:t>
      </w:r>
      <w:proofErr w:type="spellEnd"/>
      <w:r w:rsidRPr="00D70F62">
        <w:rPr>
          <w:i/>
          <w:sz w:val="20"/>
          <w:szCs w:val="20"/>
          <w:lang w:val="pt-BR"/>
        </w:rPr>
        <w:t xml:space="preserve"> </w:t>
      </w:r>
      <w:proofErr w:type="spellStart"/>
      <w:r w:rsidRPr="00D70F62">
        <w:rPr>
          <w:i/>
          <w:sz w:val="20"/>
          <w:szCs w:val="20"/>
          <w:lang w:val="pt-BR"/>
        </w:rPr>
        <w:t>also</w:t>
      </w:r>
      <w:proofErr w:type="spellEnd"/>
      <w:r w:rsidRPr="00D70F62">
        <w:rPr>
          <w:i/>
          <w:sz w:val="20"/>
          <w:szCs w:val="20"/>
          <w:lang w:val="pt-BR"/>
        </w:rPr>
        <w:t xml:space="preserve"> </w:t>
      </w:r>
      <w:r w:rsidRPr="00D70F62">
        <w:rPr>
          <w:sz w:val="20"/>
          <w:szCs w:val="20"/>
          <w:lang w:val="pt-BR"/>
        </w:rPr>
        <w:t xml:space="preserve">TST, Ag-AIRR - 17200-66.2000.5.02.0316, 8ª Turma, Rel. </w:t>
      </w:r>
      <w:r w:rsidRPr="00F02A12">
        <w:rPr>
          <w:sz w:val="20"/>
          <w:szCs w:val="20"/>
          <w:lang w:val="pt-BR"/>
        </w:rPr>
        <w:t xml:space="preserve">Min. Márcio Eurico Vitral Amaro, J. </w:t>
      </w:r>
      <w:proofErr w:type="spellStart"/>
      <w:r w:rsidRPr="00F02A12">
        <w:rPr>
          <w:sz w:val="20"/>
          <w:szCs w:val="20"/>
          <w:lang w:val="pt-BR"/>
        </w:rPr>
        <w:t>Apr</w:t>
      </w:r>
      <w:proofErr w:type="spellEnd"/>
      <w:r w:rsidRPr="00F02A12">
        <w:rPr>
          <w:sz w:val="20"/>
          <w:szCs w:val="20"/>
          <w:lang w:val="pt-BR"/>
        </w:rPr>
        <w:t xml:space="preserve">. 15, 2015, D.J. </w:t>
      </w:r>
      <w:proofErr w:type="spellStart"/>
      <w:r w:rsidRPr="00F02A12">
        <w:rPr>
          <w:sz w:val="20"/>
          <w:szCs w:val="20"/>
          <w:lang w:val="pt-BR"/>
        </w:rPr>
        <w:t>Apr</w:t>
      </w:r>
      <w:proofErr w:type="spellEnd"/>
      <w:r w:rsidRPr="00F02A12">
        <w:rPr>
          <w:sz w:val="20"/>
          <w:szCs w:val="20"/>
          <w:lang w:val="pt-BR"/>
        </w:rPr>
        <w:t xml:space="preserve">. 17, 2015. </w:t>
      </w:r>
      <w:r w:rsidRPr="00F02A12">
        <w:rPr>
          <w:sz w:val="20"/>
          <w:szCs w:val="20"/>
        </w:rPr>
        <w:t xml:space="preserve">Some decisions, however, restrict the imposition of liability to controlling shareholders. </w:t>
      </w:r>
      <w:proofErr w:type="spellStart"/>
      <w:r w:rsidRPr="00F02A12">
        <w:rPr>
          <w:i/>
          <w:sz w:val="20"/>
          <w:szCs w:val="20"/>
          <w:lang w:val="pt-BR"/>
        </w:rPr>
        <w:t>See</w:t>
      </w:r>
      <w:proofErr w:type="spellEnd"/>
      <w:r w:rsidRPr="00F02A12">
        <w:rPr>
          <w:sz w:val="20"/>
          <w:szCs w:val="20"/>
          <w:lang w:val="pt-BR"/>
        </w:rPr>
        <w:t xml:space="preserve">, </w:t>
      </w:r>
      <w:r w:rsidRPr="00F02A12">
        <w:rPr>
          <w:i/>
          <w:sz w:val="20"/>
          <w:szCs w:val="20"/>
          <w:lang w:val="pt-BR"/>
        </w:rPr>
        <w:t>e.g.</w:t>
      </w:r>
      <w:r w:rsidRPr="00F02A12">
        <w:rPr>
          <w:sz w:val="20"/>
          <w:szCs w:val="20"/>
          <w:lang w:val="pt-BR"/>
        </w:rPr>
        <w:t xml:space="preserve">, TST, AIRR - 119600-07.1990.5.02.0027, 2ª Turma, Rel. Min. José Roberto Freire Pimenta, J. </w:t>
      </w:r>
      <w:proofErr w:type="spellStart"/>
      <w:r w:rsidRPr="00F02A12">
        <w:rPr>
          <w:sz w:val="20"/>
          <w:szCs w:val="20"/>
          <w:lang w:val="pt-BR"/>
        </w:rPr>
        <w:t>Apr</w:t>
      </w:r>
      <w:proofErr w:type="spellEnd"/>
      <w:r w:rsidRPr="00F02A12">
        <w:rPr>
          <w:sz w:val="20"/>
          <w:szCs w:val="20"/>
          <w:lang w:val="pt-BR"/>
        </w:rPr>
        <w:t xml:space="preserve">. 22, 2015, D.EJT </w:t>
      </w:r>
      <w:proofErr w:type="spellStart"/>
      <w:r w:rsidRPr="00F02A12">
        <w:rPr>
          <w:sz w:val="20"/>
          <w:szCs w:val="20"/>
          <w:lang w:val="pt-BR"/>
        </w:rPr>
        <w:t>Apr</w:t>
      </w:r>
      <w:proofErr w:type="spellEnd"/>
      <w:r w:rsidRPr="00F02A12">
        <w:rPr>
          <w:sz w:val="20"/>
          <w:szCs w:val="20"/>
          <w:lang w:val="pt-BR"/>
        </w:rPr>
        <w:t>. 30, 2015.</w:t>
      </w:r>
    </w:p>
  </w:footnote>
  <w:footnote w:id="13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On the benefits of pro rata over joint and several liability, </w:t>
      </w:r>
      <w:r w:rsidRPr="00F02A12">
        <w:rPr>
          <w:i/>
          <w:sz w:val="20"/>
          <w:szCs w:val="20"/>
        </w:rPr>
        <w:t>see</w:t>
      </w:r>
      <w:r w:rsidRPr="00F02A12">
        <w:rPr>
          <w:sz w:val="20"/>
          <w:szCs w:val="20"/>
        </w:rPr>
        <w:t xml:space="preserve"> </w:t>
      </w:r>
      <w:r w:rsidRPr="00F02A12">
        <w:rPr>
          <w:rFonts w:cs="Times New Roman"/>
          <w:sz w:val="20"/>
          <w:szCs w:val="20"/>
          <w:lang w:val="en-GB"/>
        </w:rPr>
        <w:t xml:space="preserve">Henry </w:t>
      </w:r>
      <w:proofErr w:type="spellStart"/>
      <w:r w:rsidRPr="00F02A12">
        <w:rPr>
          <w:rFonts w:cs="Times New Roman"/>
          <w:sz w:val="20"/>
          <w:szCs w:val="20"/>
          <w:lang w:val="en-GB"/>
        </w:rPr>
        <w:t>Hansmann</w:t>
      </w:r>
      <w:proofErr w:type="spellEnd"/>
      <w:r w:rsidRPr="00F02A12">
        <w:rPr>
          <w:rFonts w:cs="Times New Roman"/>
          <w:sz w:val="20"/>
          <w:szCs w:val="20"/>
          <w:lang w:val="en-GB"/>
        </w:rPr>
        <w:t xml:space="preserve"> &amp; </w:t>
      </w:r>
      <w:proofErr w:type="spellStart"/>
      <w:r w:rsidRPr="00F02A12">
        <w:rPr>
          <w:rFonts w:cs="Times New Roman"/>
          <w:sz w:val="20"/>
          <w:szCs w:val="20"/>
          <w:lang w:val="en-GB"/>
        </w:rPr>
        <w:t>Reinier</w:t>
      </w:r>
      <w:proofErr w:type="spellEnd"/>
      <w:r w:rsidRPr="00F02A12">
        <w:rPr>
          <w:rFonts w:cs="Times New Roman"/>
          <w:sz w:val="20"/>
          <w:szCs w:val="20"/>
          <w:lang w:val="en-GB"/>
        </w:rPr>
        <w:t xml:space="preserve"> </w:t>
      </w:r>
      <w:proofErr w:type="spellStart"/>
      <w:r w:rsidRPr="00F02A12">
        <w:rPr>
          <w:rFonts w:cs="Times New Roman"/>
          <w:sz w:val="20"/>
          <w:szCs w:val="20"/>
          <w:lang w:val="en-GB"/>
        </w:rPr>
        <w:t>Kraakman</w:t>
      </w:r>
      <w:proofErr w:type="spellEnd"/>
      <w:r w:rsidRPr="00F02A12">
        <w:rPr>
          <w:rFonts w:cs="Times New Roman"/>
          <w:sz w:val="20"/>
          <w:szCs w:val="20"/>
          <w:lang w:val="en-GB"/>
        </w:rPr>
        <w:t xml:space="preserve">, </w:t>
      </w:r>
      <w:r w:rsidRPr="00F02A12">
        <w:rPr>
          <w:rFonts w:cs="Times New Roman"/>
          <w:i/>
          <w:sz w:val="20"/>
          <w:szCs w:val="20"/>
          <w:lang w:val="en-GB"/>
        </w:rPr>
        <w:t>Toward Unlimited Shareholder Liability for Corporate Torts</w:t>
      </w:r>
      <w:r w:rsidRPr="00F02A12">
        <w:rPr>
          <w:rFonts w:cs="Times New Roman"/>
          <w:sz w:val="20"/>
          <w:szCs w:val="20"/>
          <w:lang w:val="en-GB"/>
        </w:rPr>
        <w:t xml:space="preserve">, 100 </w:t>
      </w:r>
      <w:r w:rsidRPr="00F02A12">
        <w:rPr>
          <w:rFonts w:cs="Times New Roman"/>
          <w:smallCaps/>
          <w:sz w:val="20"/>
          <w:szCs w:val="20"/>
          <w:lang w:val="en-GB"/>
        </w:rPr>
        <w:t>Yale L.J.</w:t>
      </w:r>
      <w:r w:rsidRPr="00F02A12">
        <w:rPr>
          <w:rFonts w:cs="Times New Roman"/>
          <w:sz w:val="20"/>
          <w:szCs w:val="20"/>
          <w:lang w:val="en-GB"/>
        </w:rPr>
        <w:t xml:space="preserve"> 1879, 1892-4 (1991)</w:t>
      </w:r>
      <w:r w:rsidRPr="00F02A12">
        <w:rPr>
          <w:rFonts w:cs="Times New Roman"/>
          <w:spacing w:val="-1"/>
          <w:sz w:val="20"/>
          <w:szCs w:val="20"/>
        </w:rPr>
        <w:t>.</w:t>
      </w:r>
    </w:p>
  </w:footnote>
  <w:footnote w:id="137">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lang w:val="fr-FR"/>
        </w:rPr>
        <w:t xml:space="preserve"> TST, Ag-AIRR - 3262200-18.1997.5.09.0008, 1ª </w:t>
      </w:r>
      <w:proofErr w:type="spellStart"/>
      <w:r w:rsidRPr="00F02A12">
        <w:rPr>
          <w:sz w:val="20"/>
          <w:szCs w:val="20"/>
          <w:lang w:val="fr-FR"/>
        </w:rPr>
        <w:t>Turma</w:t>
      </w:r>
      <w:proofErr w:type="spellEnd"/>
      <w:r w:rsidRPr="00F02A12">
        <w:rPr>
          <w:sz w:val="20"/>
          <w:szCs w:val="20"/>
          <w:lang w:val="fr-FR"/>
        </w:rPr>
        <w:t xml:space="preserve">, Rel. Des. </w:t>
      </w:r>
      <w:r w:rsidRPr="00F02A12">
        <w:rPr>
          <w:sz w:val="20"/>
          <w:szCs w:val="20"/>
          <w:lang w:val="pt-BR"/>
        </w:rPr>
        <w:t xml:space="preserve">Convocado José Maria Quadros de Alencar, J.  Nov. 27, 2013, D.J. Nov. 29, 2013. </w:t>
      </w:r>
    </w:p>
  </w:footnote>
  <w:footnote w:id="138">
    <w:p w:rsidR="000373FF" w:rsidRPr="00F02A12" w:rsidRDefault="000373FF" w:rsidP="00F02A12">
      <w:pPr>
        <w:pStyle w:val="Textodenotaderodap"/>
        <w:jc w:val="both"/>
        <w:rPr>
          <w:sz w:val="20"/>
          <w:szCs w:val="20"/>
          <w:lang w:val="fr-FR"/>
        </w:rPr>
      </w:pPr>
      <w:r w:rsidRPr="00F02A12">
        <w:rPr>
          <w:rStyle w:val="Refdenotaderodap"/>
          <w:sz w:val="20"/>
          <w:szCs w:val="20"/>
        </w:rPr>
        <w:footnoteRef/>
      </w:r>
      <w:r w:rsidRPr="00F02A12">
        <w:rPr>
          <w:sz w:val="20"/>
          <w:szCs w:val="20"/>
          <w:lang w:val="pt-BR"/>
        </w:rPr>
        <w:t xml:space="preserve"> STJ, RESP, 1.096.094-DF, 4ª Turma, Rel. </w:t>
      </w:r>
      <w:r w:rsidRPr="00F02A12">
        <w:rPr>
          <w:sz w:val="20"/>
          <w:szCs w:val="20"/>
          <w:lang w:val="fr-FR"/>
        </w:rPr>
        <w:t xml:space="preserve">Min. Luis Felipe </w:t>
      </w:r>
      <w:proofErr w:type="spellStart"/>
      <w:r w:rsidRPr="00F02A12">
        <w:rPr>
          <w:sz w:val="20"/>
          <w:szCs w:val="20"/>
          <w:lang w:val="fr-FR"/>
        </w:rPr>
        <w:t>Salomão</w:t>
      </w:r>
      <w:proofErr w:type="spellEnd"/>
      <w:r w:rsidRPr="00F02A12">
        <w:rPr>
          <w:sz w:val="20"/>
          <w:szCs w:val="20"/>
          <w:lang w:val="fr-FR"/>
        </w:rPr>
        <w:t xml:space="preserve">, J. </w:t>
      </w:r>
      <w:proofErr w:type="spellStart"/>
      <w:r w:rsidRPr="00F02A12">
        <w:rPr>
          <w:sz w:val="20"/>
          <w:szCs w:val="20"/>
          <w:lang w:val="fr-FR"/>
        </w:rPr>
        <w:t>Aug</w:t>
      </w:r>
      <w:proofErr w:type="spellEnd"/>
      <w:r w:rsidRPr="00F02A12">
        <w:rPr>
          <w:sz w:val="20"/>
          <w:szCs w:val="20"/>
          <w:lang w:val="fr-FR"/>
        </w:rPr>
        <w:t xml:space="preserve">. 2, 2012, D.J. Oct. 16, 2012.  </w:t>
      </w:r>
    </w:p>
  </w:footnote>
  <w:footnote w:id="13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On the argument for the disparate treatment voluntary and involuntary creditors, </w:t>
      </w:r>
      <w:r w:rsidRPr="00F02A12">
        <w:rPr>
          <w:i/>
          <w:sz w:val="20"/>
          <w:szCs w:val="20"/>
        </w:rPr>
        <w:t xml:space="preserve">see </w:t>
      </w:r>
      <w:r w:rsidRPr="00F02A12">
        <w:rPr>
          <w:sz w:val="20"/>
          <w:szCs w:val="20"/>
        </w:rPr>
        <w:t xml:space="preserve">notes </w:t>
      </w:r>
      <w:r w:rsidRPr="00F02A12">
        <w:rPr>
          <w:sz w:val="20"/>
          <w:szCs w:val="20"/>
        </w:rPr>
        <w:fldChar w:fldCharType="begin"/>
      </w:r>
      <w:r w:rsidRPr="00F02A12">
        <w:rPr>
          <w:sz w:val="20"/>
          <w:szCs w:val="20"/>
        </w:rPr>
        <w:instrText xml:space="preserve"> NOTEREF _Ref456345085 \h  \* MERGEFORMAT </w:instrText>
      </w:r>
      <w:r w:rsidRPr="00F02A12">
        <w:rPr>
          <w:sz w:val="20"/>
          <w:szCs w:val="20"/>
        </w:rPr>
      </w:r>
      <w:r w:rsidRPr="00F02A12">
        <w:rPr>
          <w:sz w:val="20"/>
          <w:szCs w:val="20"/>
        </w:rPr>
        <w:fldChar w:fldCharType="separate"/>
      </w:r>
      <w:r>
        <w:rPr>
          <w:sz w:val="20"/>
          <w:szCs w:val="20"/>
        </w:rPr>
        <w:t>201</w:t>
      </w:r>
      <w:r w:rsidRPr="00F02A12">
        <w:rPr>
          <w:sz w:val="20"/>
          <w:szCs w:val="20"/>
        </w:rPr>
        <w:fldChar w:fldCharType="end"/>
      </w:r>
      <w:r w:rsidRPr="00F02A12">
        <w:rPr>
          <w:sz w:val="20"/>
          <w:szCs w:val="20"/>
        </w:rPr>
        <w:t>-</w:t>
      </w:r>
      <w:r w:rsidRPr="00F02A12">
        <w:rPr>
          <w:sz w:val="20"/>
          <w:szCs w:val="20"/>
        </w:rPr>
        <w:fldChar w:fldCharType="begin"/>
      </w:r>
      <w:r w:rsidRPr="00F02A12">
        <w:rPr>
          <w:sz w:val="20"/>
          <w:szCs w:val="20"/>
        </w:rPr>
        <w:instrText xml:space="preserve"> NOTEREF _Ref456345086 \h  \* MERGEFORMAT </w:instrText>
      </w:r>
      <w:r w:rsidRPr="00F02A12">
        <w:rPr>
          <w:sz w:val="20"/>
          <w:szCs w:val="20"/>
        </w:rPr>
      </w:r>
      <w:r w:rsidRPr="00F02A12">
        <w:rPr>
          <w:sz w:val="20"/>
          <w:szCs w:val="20"/>
        </w:rPr>
        <w:fldChar w:fldCharType="separate"/>
      </w:r>
      <w:r>
        <w:rPr>
          <w:sz w:val="20"/>
          <w:szCs w:val="20"/>
        </w:rPr>
        <w:t>202</w:t>
      </w:r>
      <w:r w:rsidRPr="00F02A12">
        <w:rPr>
          <w:sz w:val="20"/>
          <w:szCs w:val="20"/>
        </w:rPr>
        <w:fldChar w:fldCharType="end"/>
      </w:r>
      <w:r w:rsidRPr="00F02A12">
        <w:rPr>
          <w:sz w:val="20"/>
          <w:szCs w:val="20"/>
        </w:rPr>
        <w:t xml:space="preserve"> </w:t>
      </w:r>
      <w:r w:rsidRPr="00F02A12">
        <w:rPr>
          <w:i/>
          <w:sz w:val="20"/>
          <w:szCs w:val="20"/>
        </w:rPr>
        <w:t xml:space="preserve">infra </w:t>
      </w:r>
      <w:r w:rsidRPr="00F02A12">
        <w:rPr>
          <w:sz w:val="20"/>
          <w:szCs w:val="20"/>
        </w:rPr>
        <w:t xml:space="preserve">and accompanying text. </w:t>
      </w:r>
    </w:p>
  </w:footnote>
  <w:footnote w:id="140">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proofErr w:type="spellStart"/>
      <w:r w:rsidRPr="00F02A12">
        <w:rPr>
          <w:smallCaps/>
          <w:sz w:val="20"/>
          <w:szCs w:val="20"/>
        </w:rPr>
        <w:t>Salama</w:t>
      </w:r>
      <w:proofErr w:type="spellEnd"/>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_Ref451786219 \h  \* MERGEFORMAT </w:instrText>
      </w:r>
      <w:r w:rsidRPr="00F02A12">
        <w:rPr>
          <w:sz w:val="20"/>
          <w:szCs w:val="20"/>
        </w:rPr>
      </w:r>
      <w:r w:rsidRPr="00F02A12">
        <w:rPr>
          <w:sz w:val="20"/>
          <w:szCs w:val="20"/>
        </w:rPr>
        <w:fldChar w:fldCharType="separate"/>
      </w:r>
      <w:r>
        <w:rPr>
          <w:sz w:val="20"/>
          <w:szCs w:val="20"/>
        </w:rPr>
        <w:t>95</w:t>
      </w:r>
      <w:r w:rsidRPr="00F02A12">
        <w:rPr>
          <w:sz w:val="20"/>
          <w:szCs w:val="20"/>
        </w:rPr>
        <w:fldChar w:fldCharType="end"/>
      </w:r>
      <w:r w:rsidRPr="00F02A12">
        <w:rPr>
          <w:sz w:val="20"/>
          <w:szCs w:val="20"/>
        </w:rPr>
        <w:t xml:space="preserve">, at 11 (noting that, unlike other areas, unlimited liability in civil and commercial matters is “quite restrained”). </w:t>
      </w:r>
    </w:p>
  </w:footnote>
  <w:footnote w:id="141">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STJ, </w:t>
      </w:r>
      <w:proofErr w:type="spellStart"/>
      <w:r w:rsidRPr="00F02A12">
        <w:rPr>
          <w:rFonts w:cs="Times New Roman"/>
          <w:sz w:val="20"/>
          <w:szCs w:val="20"/>
        </w:rPr>
        <w:t>EREsp</w:t>
      </w:r>
      <w:proofErr w:type="spellEnd"/>
      <w:r w:rsidRPr="00F02A12">
        <w:rPr>
          <w:rFonts w:cs="Times New Roman"/>
          <w:sz w:val="20"/>
          <w:szCs w:val="20"/>
        </w:rPr>
        <w:t xml:space="preserve"> 1.306.553-SC, Rel. Min. Maria Isabel </w:t>
      </w:r>
      <w:proofErr w:type="spellStart"/>
      <w:r w:rsidRPr="00F02A12">
        <w:rPr>
          <w:rFonts w:cs="Times New Roman"/>
          <w:sz w:val="20"/>
          <w:szCs w:val="20"/>
        </w:rPr>
        <w:t>Gallotti</w:t>
      </w:r>
      <w:proofErr w:type="spellEnd"/>
      <w:r w:rsidRPr="00F02A12">
        <w:rPr>
          <w:rFonts w:cs="Times New Roman"/>
          <w:sz w:val="20"/>
          <w:szCs w:val="20"/>
        </w:rPr>
        <w:t xml:space="preserve">, J. Dec. 10, 2014, D.J. Dec. 12, 2014. </w:t>
      </w:r>
    </w:p>
  </w:footnote>
  <w:footnote w:id="142">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i/>
          <w:sz w:val="20"/>
          <w:szCs w:val="20"/>
        </w:rPr>
        <w:t>Id.</w:t>
      </w:r>
    </w:p>
  </w:footnote>
  <w:footnote w:id="14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Law 8,620 of Jan. 5, 1993, Art. 13.</w:t>
      </w:r>
    </w:p>
  </w:footnote>
  <w:footnote w:id="144">
    <w:p w:rsidR="000373FF" w:rsidRPr="00F02A12" w:rsidRDefault="000373FF" w:rsidP="00F02A12">
      <w:pPr>
        <w:pStyle w:val="Textodenotaderodap"/>
        <w:jc w:val="both"/>
        <w:rPr>
          <w:sz w:val="20"/>
          <w:szCs w:val="20"/>
          <w:lang w:val="fr-FR"/>
        </w:rPr>
      </w:pPr>
      <w:r w:rsidRPr="00F02A12">
        <w:rPr>
          <w:rStyle w:val="Refdenotaderodap"/>
          <w:sz w:val="20"/>
          <w:szCs w:val="20"/>
        </w:rPr>
        <w:footnoteRef/>
      </w:r>
      <w:r w:rsidRPr="00F02A12">
        <w:rPr>
          <w:sz w:val="20"/>
          <w:szCs w:val="20"/>
          <w:lang w:val="fr-FR"/>
        </w:rPr>
        <w:t xml:space="preserve"> STF, RE 562.276-PR, Rel. </w:t>
      </w:r>
      <w:r w:rsidRPr="00F02A12">
        <w:rPr>
          <w:sz w:val="20"/>
          <w:szCs w:val="20"/>
          <w:lang w:val="it-IT"/>
        </w:rPr>
        <w:t xml:space="preserve">Min. Ellen Gracie, Nov. 3, 2010. </w:t>
      </w:r>
    </w:p>
  </w:footnote>
  <w:footnote w:id="145">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Peter Conti-Brown, </w:t>
      </w:r>
      <w:r w:rsidRPr="00F02A12">
        <w:rPr>
          <w:i/>
          <w:sz w:val="20"/>
          <w:szCs w:val="20"/>
        </w:rPr>
        <w:t>Elective Shareholder Liability</w:t>
      </w:r>
      <w:r w:rsidRPr="00F02A12">
        <w:rPr>
          <w:sz w:val="20"/>
          <w:szCs w:val="20"/>
        </w:rPr>
        <w:t xml:space="preserve">, 64 </w:t>
      </w:r>
      <w:r w:rsidRPr="00F02A12">
        <w:rPr>
          <w:smallCaps/>
          <w:sz w:val="20"/>
          <w:szCs w:val="20"/>
        </w:rPr>
        <w:t>Stan. L. Rev</w:t>
      </w:r>
      <w:r w:rsidRPr="00F02A12">
        <w:rPr>
          <w:sz w:val="20"/>
          <w:szCs w:val="20"/>
        </w:rPr>
        <w:t xml:space="preserve">. 409, 456 (2012). </w:t>
      </w:r>
    </w:p>
  </w:footnote>
  <w:footnote w:id="14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Id. </w:t>
      </w:r>
      <w:r w:rsidRPr="00F02A12">
        <w:rPr>
          <w:sz w:val="20"/>
          <w:szCs w:val="20"/>
        </w:rPr>
        <w:t xml:space="preserve">at 460. </w:t>
      </w:r>
    </w:p>
  </w:footnote>
  <w:footnote w:id="14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Ronald J. Gilson, Henry </w:t>
      </w:r>
      <w:proofErr w:type="spellStart"/>
      <w:r w:rsidRPr="00F02A12">
        <w:rPr>
          <w:sz w:val="20"/>
          <w:szCs w:val="20"/>
        </w:rPr>
        <w:t>Hansmann</w:t>
      </w:r>
      <w:proofErr w:type="spellEnd"/>
      <w:r w:rsidRPr="00F02A12">
        <w:rPr>
          <w:sz w:val="20"/>
          <w:szCs w:val="20"/>
        </w:rPr>
        <w:t xml:space="preserve"> &amp; Mariana Pargendler, </w:t>
      </w:r>
      <w:r w:rsidRPr="00F02A12">
        <w:rPr>
          <w:i/>
          <w:sz w:val="20"/>
          <w:szCs w:val="20"/>
        </w:rPr>
        <w:t>Regulatory Dualism as a Development Strategy: Corporate Reform in Brazil, the United States, and the European Union</w:t>
      </w:r>
      <w:r w:rsidRPr="00F02A12">
        <w:rPr>
          <w:sz w:val="20"/>
          <w:szCs w:val="20"/>
        </w:rPr>
        <w:t>, 63 S</w:t>
      </w:r>
      <w:r w:rsidRPr="00F02A12">
        <w:rPr>
          <w:smallCaps/>
          <w:sz w:val="20"/>
          <w:szCs w:val="20"/>
        </w:rPr>
        <w:t>tan</w:t>
      </w:r>
      <w:r w:rsidRPr="00F02A12">
        <w:rPr>
          <w:sz w:val="20"/>
          <w:szCs w:val="20"/>
        </w:rPr>
        <w:t>. L. R</w:t>
      </w:r>
      <w:r w:rsidRPr="00F02A12">
        <w:rPr>
          <w:smallCaps/>
          <w:sz w:val="20"/>
          <w:szCs w:val="20"/>
        </w:rPr>
        <w:t>ev</w:t>
      </w:r>
      <w:r w:rsidRPr="00F02A12">
        <w:rPr>
          <w:sz w:val="20"/>
          <w:szCs w:val="20"/>
        </w:rPr>
        <w:t>. 475, 482-6 (2013).</w:t>
      </w:r>
    </w:p>
  </w:footnote>
  <w:footnote w:id="148">
    <w:p w:rsidR="000373FF" w:rsidRPr="00F02A12" w:rsidRDefault="000373FF" w:rsidP="00F02A12">
      <w:pPr>
        <w:autoSpaceDE w:val="0"/>
        <w:autoSpaceDN w:val="0"/>
        <w:adjustRightInd w:val="0"/>
        <w:spacing w:after="0" w:line="240" w:lineRule="auto"/>
        <w:jc w:val="both"/>
        <w:rPr>
          <w:rFonts w:ascii="Calibri" w:hAnsi="Calibri" w:cs="Calibri"/>
          <w:sz w:val="20"/>
          <w:szCs w:val="20"/>
          <w:lang w:val="en-US"/>
        </w:rPr>
      </w:pPr>
      <w:r w:rsidRPr="00F02A12">
        <w:rPr>
          <w:rStyle w:val="Refdenotaderodap"/>
          <w:smallCaps/>
          <w:sz w:val="20"/>
          <w:szCs w:val="20"/>
        </w:rPr>
        <w:footnoteRef/>
      </w:r>
      <w:r w:rsidRPr="00F02A12">
        <w:rPr>
          <w:smallCaps/>
          <w:sz w:val="20"/>
          <w:szCs w:val="20"/>
        </w:rPr>
        <w:t xml:space="preserve"> Presidência da República, Secretaria de Assuntos Estratégicos, Subsecretaria de Ações Estratégicas, </w:t>
      </w:r>
      <w:proofErr w:type="spellStart"/>
      <w:r w:rsidRPr="00F02A12">
        <w:rPr>
          <w:smallCaps/>
          <w:sz w:val="20"/>
          <w:szCs w:val="20"/>
        </w:rPr>
        <w:t>Produtivismo</w:t>
      </w:r>
      <w:proofErr w:type="spellEnd"/>
      <w:r w:rsidRPr="00F02A12">
        <w:rPr>
          <w:smallCaps/>
          <w:sz w:val="20"/>
          <w:szCs w:val="20"/>
        </w:rPr>
        <w:t xml:space="preserve"> </w:t>
      </w:r>
      <w:proofErr w:type="spellStart"/>
      <w:r w:rsidRPr="00F02A12">
        <w:rPr>
          <w:smallCaps/>
          <w:sz w:val="20"/>
          <w:szCs w:val="20"/>
        </w:rPr>
        <w:t>Includente</w:t>
      </w:r>
      <w:proofErr w:type="spellEnd"/>
      <w:r w:rsidRPr="00F02A12">
        <w:rPr>
          <w:smallCaps/>
          <w:sz w:val="20"/>
          <w:szCs w:val="20"/>
        </w:rPr>
        <w:t>: Empreendedorismo Vanguardista 50</w:t>
      </w:r>
      <w:r w:rsidRPr="00F02A12">
        <w:rPr>
          <w:sz w:val="20"/>
          <w:szCs w:val="20"/>
        </w:rPr>
        <w:t xml:space="preserve"> (2015), </w:t>
      </w:r>
      <w:hyperlink r:id="rId8" w:history="1">
        <w:r w:rsidRPr="00F02A12">
          <w:rPr>
            <w:rStyle w:val="Hyperlink"/>
            <w:sz w:val="20"/>
            <w:szCs w:val="20"/>
          </w:rPr>
          <w:t>http://www.sae.gov.br/wp-content/uploads/EMPREENDEDORISMO-VANGUARDISTA-FINAL-FUNDO-CLARO.pdf</w:t>
        </w:r>
      </w:hyperlink>
      <w:r w:rsidRPr="00F02A12">
        <w:rPr>
          <w:sz w:val="20"/>
          <w:szCs w:val="20"/>
        </w:rPr>
        <w:t xml:space="preserve">. </w:t>
      </w:r>
      <w:r w:rsidRPr="00F02A12">
        <w:rPr>
          <w:sz w:val="20"/>
          <w:szCs w:val="20"/>
          <w:lang w:val="en-US"/>
        </w:rPr>
        <w:t>According to the Report, “[o]</w:t>
      </w:r>
      <w:proofErr w:type="spellStart"/>
      <w:r w:rsidRPr="00F02A12">
        <w:rPr>
          <w:sz w:val="20"/>
          <w:szCs w:val="20"/>
          <w:lang w:val="en-US"/>
        </w:rPr>
        <w:t>ne</w:t>
      </w:r>
      <w:proofErr w:type="spellEnd"/>
      <w:r w:rsidRPr="00F02A12">
        <w:rPr>
          <w:sz w:val="20"/>
          <w:szCs w:val="20"/>
          <w:lang w:val="en-US"/>
        </w:rPr>
        <w:t xml:space="preserve"> of the aspects that impede the development of a market for the financing of innovating ventures in Brazil stems from the possibility that investors in such ventures will come to be held judicially liable, in amounts often exceeding the capital invested, through the so-called disregard of legal entity. An angel investor, for instance, may be forced to pay 100% of the debts of the investee firm, even if though its share is a minority one.” </w:t>
      </w:r>
      <w:r w:rsidRPr="00F02A12">
        <w:rPr>
          <w:i/>
          <w:sz w:val="20"/>
          <w:szCs w:val="20"/>
          <w:lang w:val="en-US"/>
        </w:rPr>
        <w:t>Id.</w:t>
      </w:r>
    </w:p>
  </w:footnote>
  <w:footnote w:id="14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Id. </w:t>
      </w:r>
      <w:r w:rsidRPr="00F02A12">
        <w:rPr>
          <w:sz w:val="20"/>
          <w:szCs w:val="20"/>
        </w:rPr>
        <w:t>at 19 and 64.</w:t>
      </w:r>
    </w:p>
  </w:footnote>
  <w:footnote w:id="150">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Law 13,105 of Mar. 16, 2015, Arts. 133-137.</w:t>
      </w:r>
    </w:p>
  </w:footnote>
  <w:footnote w:id="151">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LSA, Art. 144. For a description of the board structures available under Brazilian law and their applicability, </w:t>
      </w:r>
      <w:r w:rsidRPr="00F02A12">
        <w:rPr>
          <w:rFonts w:cs="Times New Roman"/>
          <w:i/>
          <w:sz w:val="20"/>
          <w:szCs w:val="20"/>
        </w:rPr>
        <w:t xml:space="preserve">see </w:t>
      </w:r>
      <w:r w:rsidRPr="00F02A12">
        <w:rPr>
          <w:rFonts w:cs="Times New Roman"/>
          <w:sz w:val="20"/>
          <w:szCs w:val="20"/>
        </w:rPr>
        <w:t xml:space="preserve">note </w:t>
      </w:r>
      <w:r w:rsidRPr="00F02A12">
        <w:rPr>
          <w:rFonts w:cs="Times New Roman"/>
          <w:sz w:val="20"/>
          <w:szCs w:val="20"/>
        </w:rPr>
        <w:fldChar w:fldCharType="begin"/>
      </w:r>
      <w:r w:rsidRPr="00F02A12">
        <w:rPr>
          <w:rFonts w:cs="Times New Roman"/>
          <w:sz w:val="20"/>
          <w:szCs w:val="20"/>
        </w:rPr>
        <w:instrText xml:space="preserve"> NOTEREF _Ref456340205 \h  \* MERGEFORMAT </w:instrText>
      </w:r>
      <w:r w:rsidRPr="00F02A12">
        <w:rPr>
          <w:rFonts w:cs="Times New Roman"/>
          <w:sz w:val="20"/>
          <w:szCs w:val="20"/>
        </w:rPr>
      </w:r>
      <w:r w:rsidRPr="00F02A12">
        <w:rPr>
          <w:rFonts w:cs="Times New Roman"/>
          <w:sz w:val="20"/>
          <w:szCs w:val="20"/>
        </w:rPr>
        <w:fldChar w:fldCharType="separate"/>
      </w:r>
      <w:r>
        <w:rPr>
          <w:rFonts w:cs="Times New Roman"/>
          <w:sz w:val="20"/>
          <w:szCs w:val="20"/>
        </w:rPr>
        <w:t>169</w:t>
      </w:r>
      <w:r w:rsidRPr="00F02A12">
        <w:rPr>
          <w:rFonts w:cs="Times New Roman"/>
          <w:sz w:val="20"/>
          <w:szCs w:val="20"/>
        </w:rPr>
        <w:fldChar w:fldCharType="end"/>
      </w:r>
      <w:r w:rsidRPr="00F02A12">
        <w:rPr>
          <w:rFonts w:cs="Times New Roman"/>
          <w:sz w:val="20"/>
          <w:szCs w:val="20"/>
        </w:rPr>
        <w:t xml:space="preserve"> </w:t>
      </w:r>
      <w:r w:rsidRPr="00F02A12">
        <w:rPr>
          <w:rFonts w:cs="Times New Roman"/>
          <w:i/>
          <w:sz w:val="20"/>
          <w:szCs w:val="20"/>
        </w:rPr>
        <w:t xml:space="preserve">infra </w:t>
      </w:r>
      <w:r w:rsidRPr="00F02A12">
        <w:rPr>
          <w:rFonts w:cs="Times New Roman"/>
          <w:sz w:val="20"/>
          <w:szCs w:val="20"/>
        </w:rPr>
        <w:t xml:space="preserve">and the accompanying text. </w:t>
      </w:r>
    </w:p>
  </w:footnote>
  <w:footnote w:id="152">
    <w:p w:rsidR="000373FF" w:rsidRPr="00F02A12" w:rsidRDefault="000373FF" w:rsidP="00F02A12">
      <w:pPr>
        <w:pStyle w:val="Textodenotaderodap"/>
        <w:jc w:val="both"/>
        <w:rPr>
          <w:i/>
          <w:sz w:val="20"/>
          <w:szCs w:val="20"/>
        </w:rPr>
      </w:pPr>
      <w:r w:rsidRPr="00F02A12">
        <w:rPr>
          <w:rStyle w:val="Refdenotaderodap"/>
          <w:sz w:val="20"/>
          <w:szCs w:val="20"/>
        </w:rPr>
        <w:footnoteRef/>
      </w:r>
      <w:r w:rsidRPr="00F02A12">
        <w:rPr>
          <w:sz w:val="20"/>
          <w:szCs w:val="20"/>
        </w:rPr>
        <w:t xml:space="preserve"> </w:t>
      </w:r>
      <w:r w:rsidRPr="00F02A12">
        <w:rPr>
          <w:i/>
          <w:sz w:val="20"/>
          <w:szCs w:val="20"/>
        </w:rPr>
        <w:t>See</w:t>
      </w:r>
      <w:r w:rsidRPr="00F02A12">
        <w:rPr>
          <w:sz w:val="20"/>
          <w:szCs w:val="20"/>
        </w:rPr>
        <w:t xml:space="preserve"> </w:t>
      </w:r>
      <w:proofErr w:type="spellStart"/>
      <w:r w:rsidRPr="00F02A12">
        <w:rPr>
          <w:sz w:val="20"/>
          <w:szCs w:val="20"/>
        </w:rPr>
        <w:t>Érica</w:t>
      </w:r>
      <w:proofErr w:type="spellEnd"/>
      <w:r w:rsidRPr="00F02A12">
        <w:rPr>
          <w:sz w:val="20"/>
          <w:szCs w:val="20"/>
        </w:rPr>
        <w:t xml:space="preserve"> </w:t>
      </w:r>
      <w:proofErr w:type="spellStart"/>
      <w:r w:rsidRPr="00F02A12">
        <w:rPr>
          <w:sz w:val="20"/>
          <w:szCs w:val="20"/>
        </w:rPr>
        <w:t>Gorga</w:t>
      </w:r>
      <w:proofErr w:type="spellEnd"/>
      <w:r w:rsidRPr="00F02A12">
        <w:rPr>
          <w:sz w:val="20"/>
          <w:szCs w:val="20"/>
        </w:rPr>
        <w:t xml:space="preserve">, </w:t>
      </w:r>
      <w:r w:rsidRPr="00F02A12">
        <w:rPr>
          <w:i/>
          <w:sz w:val="20"/>
          <w:szCs w:val="20"/>
        </w:rPr>
        <w:t>Corporate Control &amp; Governance after a Decade from “Novo Mercado”: Changes in Ownership Structures and Shareholder Power in Brazil</w:t>
      </w:r>
      <w:r w:rsidRPr="00F02A12">
        <w:rPr>
          <w:sz w:val="20"/>
          <w:szCs w:val="20"/>
        </w:rPr>
        <w:t xml:space="preserve">, </w:t>
      </w:r>
      <w:r w:rsidRPr="00F02A12">
        <w:rPr>
          <w:i/>
          <w:sz w:val="20"/>
          <w:szCs w:val="20"/>
        </w:rPr>
        <w:t xml:space="preserve">in </w:t>
      </w:r>
      <w:r w:rsidRPr="00F02A12">
        <w:rPr>
          <w:smallCaps/>
          <w:sz w:val="20"/>
          <w:szCs w:val="20"/>
        </w:rPr>
        <w:t xml:space="preserve">Research Handbook on Shareholder Power </w:t>
      </w:r>
      <w:r w:rsidRPr="00F02A12">
        <w:rPr>
          <w:sz w:val="20"/>
          <w:szCs w:val="20"/>
        </w:rPr>
        <w:t>(Jennifer G. Hill &amp; Randall S. Thomas eds., 2015) (hereinafter “Corporate Control”).</w:t>
      </w:r>
    </w:p>
  </w:footnote>
  <w:footnote w:id="15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smallCaps/>
          <w:sz w:val="20"/>
          <w:szCs w:val="20"/>
        </w:rPr>
        <w:t xml:space="preserve">Alexandre di </w:t>
      </w:r>
      <w:proofErr w:type="spellStart"/>
      <w:r w:rsidRPr="00F02A12">
        <w:rPr>
          <w:smallCaps/>
          <w:sz w:val="20"/>
          <w:szCs w:val="20"/>
        </w:rPr>
        <w:t>Miceli</w:t>
      </w:r>
      <w:proofErr w:type="spellEnd"/>
      <w:r w:rsidRPr="00F02A12">
        <w:rPr>
          <w:smallCaps/>
          <w:sz w:val="20"/>
          <w:szCs w:val="20"/>
        </w:rPr>
        <w:t xml:space="preserve">, </w:t>
      </w:r>
      <w:proofErr w:type="spellStart"/>
      <w:r w:rsidRPr="00F02A12">
        <w:rPr>
          <w:smallCaps/>
          <w:sz w:val="20"/>
          <w:szCs w:val="20"/>
        </w:rPr>
        <w:t>Governança</w:t>
      </w:r>
      <w:proofErr w:type="spellEnd"/>
      <w:r w:rsidRPr="00F02A12">
        <w:rPr>
          <w:smallCaps/>
          <w:sz w:val="20"/>
          <w:szCs w:val="20"/>
        </w:rPr>
        <w:t xml:space="preserve"> </w:t>
      </w:r>
      <w:proofErr w:type="spellStart"/>
      <w:r w:rsidRPr="00F02A12">
        <w:rPr>
          <w:smallCaps/>
          <w:sz w:val="20"/>
          <w:szCs w:val="20"/>
        </w:rPr>
        <w:t>Corporativa</w:t>
      </w:r>
      <w:proofErr w:type="spellEnd"/>
      <w:r w:rsidRPr="00F02A12">
        <w:rPr>
          <w:smallCaps/>
          <w:sz w:val="20"/>
          <w:szCs w:val="20"/>
        </w:rPr>
        <w:t xml:space="preserve"> no </w:t>
      </w:r>
      <w:proofErr w:type="spellStart"/>
      <w:r w:rsidRPr="00F02A12">
        <w:rPr>
          <w:smallCaps/>
          <w:sz w:val="20"/>
          <w:szCs w:val="20"/>
        </w:rPr>
        <w:t>Brasil</w:t>
      </w:r>
      <w:proofErr w:type="spellEnd"/>
      <w:r w:rsidRPr="00F02A12">
        <w:rPr>
          <w:smallCaps/>
          <w:sz w:val="20"/>
          <w:szCs w:val="20"/>
        </w:rPr>
        <w:t xml:space="preserve"> e no </w:t>
      </w:r>
      <w:proofErr w:type="spellStart"/>
      <w:r w:rsidRPr="00F02A12">
        <w:rPr>
          <w:smallCaps/>
          <w:sz w:val="20"/>
          <w:szCs w:val="20"/>
        </w:rPr>
        <w:t>Mundo</w:t>
      </w:r>
      <w:proofErr w:type="spellEnd"/>
      <w:r w:rsidRPr="00F02A12">
        <w:rPr>
          <w:sz w:val="20"/>
          <w:szCs w:val="20"/>
        </w:rPr>
        <w:t xml:space="preserve"> (2015) (finding that, as of 2014, 85% of listed companies in Brazil have a controlling shareholder or group of shareholders holding more than 50% of voting shares, and in only 4% the largest shareholder has less than 15% of the shares).  </w:t>
      </w:r>
    </w:p>
  </w:footnote>
  <w:footnote w:id="154">
    <w:p w:rsidR="000373FF" w:rsidRPr="00F02A12" w:rsidRDefault="000373FF" w:rsidP="00F02A12">
      <w:pPr>
        <w:pStyle w:val="fn"/>
        <w:spacing w:line="240" w:lineRule="auto"/>
        <w:jc w:val="both"/>
        <w:rPr>
          <w:rFonts w:asciiTheme="minorHAnsi" w:hAnsiTheme="minorHAnsi" w:cs="Arial"/>
          <w:sz w:val="20"/>
          <w:szCs w:val="20"/>
        </w:rPr>
      </w:pPr>
      <w:r w:rsidRPr="00F02A12">
        <w:rPr>
          <w:rStyle w:val="Refdenotaderodap"/>
          <w:rFonts w:asciiTheme="minorHAnsi" w:hAnsiTheme="minorHAnsi"/>
          <w:sz w:val="20"/>
          <w:szCs w:val="20"/>
        </w:rPr>
        <w:footnoteRef/>
      </w:r>
      <w:r w:rsidRPr="00F02A12">
        <w:rPr>
          <w:rFonts w:asciiTheme="minorHAnsi" w:hAnsiTheme="minorHAnsi"/>
          <w:sz w:val="20"/>
          <w:szCs w:val="20"/>
        </w:rPr>
        <w:t xml:space="preserve"> </w:t>
      </w:r>
      <w:r w:rsidRPr="00F02A12">
        <w:rPr>
          <w:rFonts w:asciiTheme="minorHAnsi" w:hAnsiTheme="minorHAnsi"/>
          <w:i/>
          <w:sz w:val="20"/>
          <w:szCs w:val="20"/>
        </w:rPr>
        <w:t>See</w:t>
      </w:r>
      <w:r w:rsidRPr="00F02A12">
        <w:rPr>
          <w:rFonts w:asciiTheme="minorHAnsi" w:hAnsiTheme="minorHAnsi"/>
          <w:sz w:val="20"/>
          <w:szCs w:val="20"/>
        </w:rPr>
        <w:t xml:space="preserve">, </w:t>
      </w:r>
      <w:r w:rsidRPr="00F02A12">
        <w:rPr>
          <w:rFonts w:asciiTheme="minorHAnsi" w:hAnsiTheme="minorHAnsi"/>
          <w:i/>
          <w:sz w:val="20"/>
          <w:szCs w:val="20"/>
        </w:rPr>
        <w:t>e.g.</w:t>
      </w:r>
      <w:r w:rsidRPr="00F02A12">
        <w:rPr>
          <w:rFonts w:asciiTheme="minorHAnsi" w:hAnsiTheme="minorHAnsi"/>
          <w:sz w:val="20"/>
          <w:szCs w:val="20"/>
        </w:rPr>
        <w:t xml:space="preserve">, </w:t>
      </w:r>
      <w:r w:rsidRPr="00F02A12">
        <w:rPr>
          <w:rFonts w:asciiTheme="minorHAnsi" w:hAnsiTheme="minorHAnsi" w:cs="Arial"/>
          <w:sz w:val="20"/>
          <w:szCs w:val="20"/>
        </w:rPr>
        <w:t xml:space="preserve">Mariana Pargendler, </w:t>
      </w:r>
      <w:r w:rsidRPr="00F02A12">
        <w:rPr>
          <w:rFonts w:asciiTheme="minorHAnsi" w:hAnsiTheme="minorHAnsi" w:cs="Arial"/>
          <w:i/>
          <w:sz w:val="20"/>
          <w:szCs w:val="20"/>
        </w:rPr>
        <w:t>Corporate Governance in Emerging Markets</w:t>
      </w:r>
      <w:r w:rsidRPr="00F02A12">
        <w:rPr>
          <w:rFonts w:asciiTheme="minorHAnsi" w:hAnsiTheme="minorHAnsi" w:cs="Arial"/>
          <w:sz w:val="20"/>
          <w:szCs w:val="20"/>
        </w:rPr>
        <w:t xml:space="preserve">, </w:t>
      </w:r>
      <w:r w:rsidRPr="00F02A12">
        <w:rPr>
          <w:rFonts w:asciiTheme="minorHAnsi" w:hAnsiTheme="minorHAnsi" w:cs="Arial"/>
          <w:i/>
          <w:sz w:val="20"/>
          <w:szCs w:val="20"/>
        </w:rPr>
        <w:t xml:space="preserve">in </w:t>
      </w:r>
      <w:r w:rsidRPr="00F02A12">
        <w:rPr>
          <w:rFonts w:asciiTheme="minorHAnsi" w:hAnsiTheme="minorHAnsi" w:cs="Arial"/>
          <w:smallCaps/>
          <w:sz w:val="20"/>
          <w:szCs w:val="20"/>
        </w:rPr>
        <w:t>Oxford Handbook of Corporate Law and Governance</w:t>
      </w:r>
      <w:r w:rsidRPr="00F02A12">
        <w:rPr>
          <w:rFonts w:asciiTheme="minorHAnsi" w:hAnsiTheme="minorHAnsi" w:cs="Arial"/>
          <w:sz w:val="20"/>
          <w:szCs w:val="20"/>
        </w:rPr>
        <w:t xml:space="preserve"> (Jeffrey N. Gordon and Wolf-Georg </w:t>
      </w:r>
      <w:proofErr w:type="spellStart"/>
      <w:r w:rsidRPr="00F02A12">
        <w:rPr>
          <w:rFonts w:asciiTheme="minorHAnsi" w:hAnsiTheme="minorHAnsi" w:cs="Arial"/>
          <w:sz w:val="20"/>
          <w:szCs w:val="20"/>
        </w:rPr>
        <w:t>Ringe</w:t>
      </w:r>
      <w:proofErr w:type="spellEnd"/>
      <w:r w:rsidRPr="00F02A12">
        <w:rPr>
          <w:rFonts w:asciiTheme="minorHAnsi" w:hAnsiTheme="minorHAnsi" w:cs="Arial"/>
          <w:sz w:val="20"/>
          <w:szCs w:val="20"/>
        </w:rPr>
        <w:t xml:space="preserve"> eds., forthcoming 2017) (hereinafter “Oxford Handbook”). </w:t>
      </w:r>
    </w:p>
  </w:footnote>
  <w:footnote w:id="155">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proofErr w:type="gramStart"/>
      <w:r w:rsidRPr="00F02A12">
        <w:rPr>
          <w:rFonts w:cs="Times New Roman"/>
          <w:sz w:val="20"/>
          <w:szCs w:val="20"/>
        </w:rPr>
        <w:t xml:space="preserve">John </w:t>
      </w:r>
      <w:proofErr w:type="spellStart"/>
      <w:r w:rsidRPr="00F02A12">
        <w:rPr>
          <w:rFonts w:cs="Times New Roman"/>
          <w:sz w:val="20"/>
          <w:szCs w:val="20"/>
        </w:rPr>
        <w:t>Armour</w:t>
      </w:r>
      <w:proofErr w:type="spellEnd"/>
      <w:r w:rsidRPr="00F02A12">
        <w:rPr>
          <w:rFonts w:cs="Times New Roman"/>
          <w:sz w:val="20"/>
          <w:szCs w:val="20"/>
        </w:rPr>
        <w:t xml:space="preserve">, Luca </w:t>
      </w:r>
      <w:proofErr w:type="spellStart"/>
      <w:r w:rsidRPr="00F02A12">
        <w:rPr>
          <w:rFonts w:cs="Times New Roman"/>
          <w:sz w:val="20"/>
          <w:szCs w:val="20"/>
        </w:rPr>
        <w:t>Enriques</w:t>
      </w:r>
      <w:proofErr w:type="spellEnd"/>
      <w:r w:rsidRPr="00F02A12">
        <w:rPr>
          <w:rFonts w:cs="Times New Roman"/>
          <w:sz w:val="20"/>
          <w:szCs w:val="20"/>
        </w:rPr>
        <w:t xml:space="preserve">, Henry </w:t>
      </w:r>
      <w:proofErr w:type="spellStart"/>
      <w:r w:rsidRPr="00F02A12">
        <w:rPr>
          <w:rFonts w:cs="Times New Roman"/>
          <w:sz w:val="20"/>
          <w:szCs w:val="20"/>
        </w:rPr>
        <w:t>Hansmann</w:t>
      </w:r>
      <w:proofErr w:type="spellEnd"/>
      <w:r w:rsidRPr="00F02A12">
        <w:rPr>
          <w:rFonts w:cs="Times New Roman"/>
          <w:sz w:val="20"/>
          <w:szCs w:val="20"/>
        </w:rPr>
        <w:t xml:space="preserve"> &amp; </w:t>
      </w:r>
      <w:proofErr w:type="spellStart"/>
      <w:r w:rsidRPr="00F02A12">
        <w:rPr>
          <w:rFonts w:cs="Times New Roman"/>
          <w:sz w:val="20"/>
          <w:szCs w:val="20"/>
        </w:rPr>
        <w:t>Reinier</w:t>
      </w:r>
      <w:proofErr w:type="spellEnd"/>
      <w:r w:rsidRPr="00F02A12">
        <w:rPr>
          <w:rFonts w:cs="Times New Roman"/>
          <w:sz w:val="20"/>
          <w:szCs w:val="20"/>
        </w:rPr>
        <w:t xml:space="preserve"> </w:t>
      </w:r>
      <w:proofErr w:type="spellStart"/>
      <w:r w:rsidRPr="00F02A12">
        <w:rPr>
          <w:rFonts w:cs="Times New Roman"/>
          <w:sz w:val="20"/>
          <w:szCs w:val="20"/>
        </w:rPr>
        <w:t>Kraakman</w:t>
      </w:r>
      <w:proofErr w:type="spellEnd"/>
      <w:r w:rsidRPr="00F02A12">
        <w:rPr>
          <w:rFonts w:cs="Times New Roman"/>
          <w:sz w:val="20"/>
          <w:szCs w:val="20"/>
        </w:rPr>
        <w:t xml:space="preserve">, </w:t>
      </w:r>
      <w:r w:rsidRPr="00F02A12">
        <w:rPr>
          <w:rFonts w:cs="Times New Roman"/>
          <w:i/>
          <w:sz w:val="20"/>
          <w:szCs w:val="20"/>
        </w:rPr>
        <w:t>The Basic Governance Structure: The Interests of Shareholders as a Class</w:t>
      </w:r>
      <w:r w:rsidRPr="00F02A12">
        <w:rPr>
          <w:rFonts w:cs="Times New Roman"/>
          <w:sz w:val="20"/>
          <w:szCs w:val="20"/>
        </w:rPr>
        <w:t xml:space="preserve">, </w:t>
      </w:r>
      <w:r w:rsidRPr="00F02A12">
        <w:rPr>
          <w:rFonts w:cs="Times New Roman"/>
          <w:i/>
          <w:sz w:val="20"/>
          <w:szCs w:val="20"/>
        </w:rPr>
        <w:t xml:space="preserve">in </w:t>
      </w:r>
      <w:r w:rsidRPr="00F02A12">
        <w:rPr>
          <w:rFonts w:cs="Times New Roman"/>
          <w:smallCaps/>
          <w:sz w:val="20"/>
          <w:szCs w:val="20"/>
        </w:rPr>
        <w:t>Anatomy of Corporate Law</w:t>
      </w:r>
      <w:r w:rsidRPr="00F02A12">
        <w:rPr>
          <w:rFonts w:cs="Times New Roman"/>
          <w:sz w:val="20"/>
          <w:szCs w:val="20"/>
        </w:rPr>
        <w:t xml:space="preserve">, </w:t>
      </w:r>
      <w:r w:rsidRPr="00F02A12">
        <w:rPr>
          <w:rFonts w:cs="Times New Roman"/>
          <w:i/>
          <w:sz w:val="20"/>
          <w:szCs w:val="20"/>
        </w:rPr>
        <w:t xml:space="preserve">supra </w:t>
      </w:r>
      <w:r w:rsidRPr="00F02A12">
        <w:rPr>
          <w:rFonts w:cs="Times New Roman"/>
          <w:sz w:val="20"/>
          <w:szCs w:val="20"/>
        </w:rPr>
        <w:t xml:space="preserve">note </w:t>
      </w:r>
      <w:r w:rsidRPr="00F02A12">
        <w:rPr>
          <w:sz w:val="20"/>
          <w:szCs w:val="20"/>
        </w:rPr>
        <w:fldChar w:fldCharType="begin"/>
      </w:r>
      <w:r w:rsidRPr="00F02A12">
        <w:rPr>
          <w:sz w:val="20"/>
          <w:szCs w:val="20"/>
        </w:rPr>
        <w:instrText xml:space="preserve"> NOTEREF _Ref451501819 \h  \* MERGEFORMAT </w:instrText>
      </w:r>
      <w:r w:rsidRPr="00F02A12">
        <w:rPr>
          <w:sz w:val="20"/>
          <w:szCs w:val="20"/>
        </w:rPr>
      </w:r>
      <w:r w:rsidRPr="00F02A12">
        <w:rPr>
          <w:sz w:val="20"/>
          <w:szCs w:val="20"/>
        </w:rPr>
        <w:fldChar w:fldCharType="separate"/>
      </w:r>
      <w:r>
        <w:rPr>
          <w:sz w:val="20"/>
          <w:szCs w:val="20"/>
        </w:rPr>
        <w:t>1</w:t>
      </w:r>
      <w:r w:rsidRPr="00F02A12">
        <w:rPr>
          <w:sz w:val="20"/>
          <w:szCs w:val="20"/>
        </w:rPr>
        <w:fldChar w:fldCharType="end"/>
      </w:r>
      <w:r w:rsidRPr="00F02A12">
        <w:rPr>
          <w:rFonts w:cs="Times New Roman"/>
          <w:sz w:val="20"/>
          <w:szCs w:val="20"/>
        </w:rPr>
        <w:t xml:space="preserve">, at __; </w:t>
      </w:r>
      <w:proofErr w:type="spellStart"/>
      <w:r w:rsidRPr="00F02A12">
        <w:rPr>
          <w:rFonts w:cs="Times New Roman"/>
          <w:sz w:val="20"/>
          <w:szCs w:val="20"/>
        </w:rPr>
        <w:t>Sofie</w:t>
      </w:r>
      <w:proofErr w:type="spellEnd"/>
      <w:r w:rsidRPr="00F02A12">
        <w:rPr>
          <w:rFonts w:cs="Times New Roman"/>
          <w:sz w:val="20"/>
          <w:szCs w:val="20"/>
        </w:rPr>
        <w:t xml:space="preserve"> Cools, </w:t>
      </w:r>
      <w:r w:rsidRPr="00F02A12">
        <w:rPr>
          <w:rFonts w:cs="Times New Roman"/>
          <w:i/>
          <w:sz w:val="20"/>
          <w:szCs w:val="20"/>
        </w:rPr>
        <w:t>The Real Difference in Corporate Law between the United States and Continental Europe: Distribution of Powers</w:t>
      </w:r>
      <w:r w:rsidRPr="00F02A12">
        <w:rPr>
          <w:rFonts w:cs="Times New Roman"/>
          <w:sz w:val="20"/>
          <w:szCs w:val="20"/>
        </w:rPr>
        <w:t>, 3</w:t>
      </w:r>
      <w:r w:rsidRPr="00F02A12">
        <w:rPr>
          <w:rFonts w:cs="Times New Roman"/>
          <w:smallCaps/>
          <w:sz w:val="20"/>
          <w:szCs w:val="20"/>
        </w:rPr>
        <w:t>0 Del. J. Corp. L.</w:t>
      </w:r>
      <w:r w:rsidRPr="00F02A12">
        <w:rPr>
          <w:rFonts w:cs="Times New Roman"/>
          <w:sz w:val="20"/>
          <w:szCs w:val="20"/>
        </w:rPr>
        <w:t xml:space="preserve"> 697 (2005) (explaining the greater role of shareholders in continental Europe).</w:t>
      </w:r>
      <w:proofErr w:type="gramEnd"/>
      <w:r w:rsidRPr="00F02A12">
        <w:rPr>
          <w:rFonts w:cs="Times New Roman"/>
          <w:sz w:val="20"/>
          <w:szCs w:val="20"/>
        </w:rPr>
        <w:t xml:space="preserve">  </w:t>
      </w:r>
    </w:p>
  </w:footnote>
  <w:footnote w:id="15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See </w:t>
      </w:r>
      <w:r w:rsidRPr="00F02A12">
        <w:rPr>
          <w:sz w:val="20"/>
          <w:szCs w:val="20"/>
        </w:rPr>
        <w:t xml:space="preserve">note </w:t>
      </w:r>
      <w:r w:rsidRPr="00F02A12">
        <w:rPr>
          <w:sz w:val="20"/>
          <w:szCs w:val="20"/>
        </w:rPr>
        <w:fldChar w:fldCharType="begin"/>
      </w:r>
      <w:r w:rsidRPr="00F02A12">
        <w:rPr>
          <w:sz w:val="20"/>
          <w:szCs w:val="20"/>
        </w:rPr>
        <w:instrText xml:space="preserve"> NOTEREF _Ref455602135 \h  \* MERGEFORMAT </w:instrText>
      </w:r>
      <w:r w:rsidRPr="00F02A12">
        <w:rPr>
          <w:sz w:val="20"/>
          <w:szCs w:val="20"/>
        </w:rPr>
      </w:r>
      <w:r w:rsidRPr="00F02A12">
        <w:rPr>
          <w:sz w:val="20"/>
          <w:szCs w:val="20"/>
        </w:rPr>
        <w:fldChar w:fldCharType="separate"/>
      </w:r>
      <w:r>
        <w:rPr>
          <w:sz w:val="20"/>
          <w:szCs w:val="20"/>
        </w:rPr>
        <w:t>161</w:t>
      </w:r>
      <w:r w:rsidRPr="00F02A12">
        <w:rPr>
          <w:sz w:val="20"/>
          <w:szCs w:val="20"/>
        </w:rPr>
        <w:fldChar w:fldCharType="end"/>
      </w:r>
      <w:r w:rsidRPr="00F02A12">
        <w:rPr>
          <w:sz w:val="20"/>
          <w:szCs w:val="20"/>
        </w:rPr>
        <w:t xml:space="preserve"> </w:t>
      </w:r>
      <w:r w:rsidRPr="00F02A12">
        <w:rPr>
          <w:i/>
          <w:sz w:val="20"/>
          <w:szCs w:val="20"/>
        </w:rPr>
        <w:t xml:space="preserve">infra </w:t>
      </w:r>
      <w:r w:rsidRPr="00F02A12">
        <w:rPr>
          <w:sz w:val="20"/>
          <w:szCs w:val="20"/>
        </w:rPr>
        <w:t>and accompanying text.</w:t>
      </w:r>
    </w:p>
  </w:footnote>
  <w:footnote w:id="15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w:t>
      </w:r>
      <w:r w:rsidRPr="00F02A12">
        <w:rPr>
          <w:rFonts w:cs="Arial"/>
          <w:color w:val="000000"/>
          <w:sz w:val="20"/>
          <w:szCs w:val="20"/>
          <w:shd w:val="clear" w:color="auto" w:fill="FFFFFF"/>
        </w:rPr>
        <w:t xml:space="preserve">Art. </w:t>
      </w:r>
      <w:proofErr w:type="gramStart"/>
      <w:r w:rsidRPr="00F02A12">
        <w:rPr>
          <w:rFonts w:cs="Arial"/>
          <w:color w:val="000000"/>
          <w:sz w:val="20"/>
          <w:szCs w:val="20"/>
          <w:shd w:val="clear" w:color="auto" w:fill="FFFFFF"/>
        </w:rPr>
        <w:t>123</w:t>
      </w:r>
      <w:proofErr w:type="gramEnd"/>
      <w:r w:rsidRPr="00F02A12">
        <w:rPr>
          <w:rFonts w:cs="Arial"/>
          <w:color w:val="000000"/>
          <w:sz w:val="20"/>
          <w:szCs w:val="20"/>
          <w:shd w:val="clear" w:color="auto" w:fill="FFFFFF"/>
        </w:rPr>
        <w:t xml:space="preserve">, </w:t>
      </w:r>
      <w:r w:rsidRPr="00F02A12">
        <w:rPr>
          <w:rFonts w:cs="Arial"/>
          <w:i/>
          <w:color w:val="000000"/>
          <w:sz w:val="20"/>
          <w:szCs w:val="20"/>
          <w:shd w:val="clear" w:color="auto" w:fill="FFFFFF"/>
        </w:rPr>
        <w:t xml:space="preserve">c </w:t>
      </w:r>
      <w:r w:rsidRPr="00F02A12">
        <w:rPr>
          <w:rFonts w:cs="Arial"/>
          <w:color w:val="000000"/>
          <w:sz w:val="20"/>
          <w:szCs w:val="20"/>
          <w:shd w:val="clear" w:color="auto" w:fill="FFFFFF"/>
        </w:rPr>
        <w:t xml:space="preserve">and </w:t>
      </w:r>
      <w:r w:rsidRPr="00F02A12">
        <w:rPr>
          <w:rFonts w:cs="Arial"/>
          <w:i/>
          <w:color w:val="000000"/>
          <w:sz w:val="20"/>
          <w:szCs w:val="20"/>
          <w:shd w:val="clear" w:color="auto" w:fill="FFFFFF"/>
        </w:rPr>
        <w:t>d</w:t>
      </w:r>
      <w:r w:rsidRPr="00F02A12">
        <w:rPr>
          <w:rFonts w:cs="Arial"/>
          <w:color w:val="000000"/>
          <w:sz w:val="20"/>
          <w:szCs w:val="20"/>
          <w:shd w:val="clear" w:color="auto" w:fill="FFFFFF"/>
        </w:rPr>
        <w:t xml:space="preserve"> (granting shareholders holding 5% of total capital, 5% of voting shares or 5% of non-voting shares). </w:t>
      </w:r>
    </w:p>
  </w:footnote>
  <w:footnote w:id="15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Art. 122. A 2011 amendment to the statute now permits the board of directors of </w:t>
      </w:r>
      <w:proofErr w:type="gramStart"/>
      <w:r w:rsidRPr="00F02A12">
        <w:rPr>
          <w:sz w:val="20"/>
          <w:szCs w:val="20"/>
        </w:rPr>
        <w:t>publicly-traded</w:t>
      </w:r>
      <w:proofErr w:type="gramEnd"/>
      <w:r w:rsidRPr="00F02A12">
        <w:rPr>
          <w:sz w:val="20"/>
          <w:szCs w:val="20"/>
        </w:rPr>
        <w:t xml:space="preserve"> companies to authorize bond issuances. </w:t>
      </w:r>
    </w:p>
  </w:footnote>
  <w:footnote w:id="15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Art. </w:t>
      </w:r>
      <w:proofErr w:type="gramStart"/>
      <w:r w:rsidRPr="00F02A12">
        <w:rPr>
          <w:sz w:val="20"/>
          <w:szCs w:val="20"/>
        </w:rPr>
        <w:t>122</w:t>
      </w:r>
      <w:proofErr w:type="gramEnd"/>
      <w:r w:rsidRPr="00F02A12">
        <w:rPr>
          <w:sz w:val="20"/>
          <w:szCs w:val="20"/>
        </w:rPr>
        <w:t>, sole paragraph.</w:t>
      </w:r>
    </w:p>
  </w:footnote>
  <w:footnote w:id="160">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Art. 152. For a comparative perspective, </w:t>
      </w:r>
      <w:r w:rsidRPr="00F02A12">
        <w:rPr>
          <w:i/>
          <w:sz w:val="20"/>
          <w:szCs w:val="20"/>
        </w:rPr>
        <w:t>see</w:t>
      </w:r>
      <w:r w:rsidRPr="00F02A12">
        <w:rPr>
          <w:sz w:val="20"/>
          <w:szCs w:val="20"/>
        </w:rPr>
        <w:t xml:space="preserve"> Randall S. Thomas &amp; Christoph Van der </w:t>
      </w:r>
      <w:proofErr w:type="spellStart"/>
      <w:r w:rsidRPr="00F02A12">
        <w:rPr>
          <w:sz w:val="20"/>
          <w:szCs w:val="20"/>
        </w:rPr>
        <w:t>Elst</w:t>
      </w:r>
      <w:proofErr w:type="spellEnd"/>
      <w:r w:rsidRPr="00F02A12">
        <w:rPr>
          <w:sz w:val="20"/>
          <w:szCs w:val="20"/>
        </w:rPr>
        <w:t xml:space="preserve">, </w:t>
      </w:r>
      <w:r w:rsidRPr="00F02A12">
        <w:rPr>
          <w:i/>
          <w:sz w:val="20"/>
          <w:szCs w:val="20"/>
        </w:rPr>
        <w:t xml:space="preserve">Say on Pay </w:t>
      </w:r>
      <w:proofErr w:type="gramStart"/>
      <w:r w:rsidRPr="00F02A12">
        <w:rPr>
          <w:i/>
          <w:sz w:val="20"/>
          <w:szCs w:val="20"/>
        </w:rPr>
        <w:t>Around</w:t>
      </w:r>
      <w:proofErr w:type="gramEnd"/>
      <w:r w:rsidRPr="00F02A12">
        <w:rPr>
          <w:i/>
          <w:sz w:val="20"/>
          <w:szCs w:val="20"/>
        </w:rPr>
        <w:t xml:space="preserve"> the World</w:t>
      </w:r>
      <w:r w:rsidRPr="00F02A12">
        <w:rPr>
          <w:sz w:val="20"/>
          <w:szCs w:val="20"/>
        </w:rPr>
        <w:t xml:space="preserve">, 92 </w:t>
      </w:r>
      <w:r w:rsidRPr="00F02A12">
        <w:rPr>
          <w:smallCaps/>
          <w:sz w:val="20"/>
          <w:szCs w:val="20"/>
        </w:rPr>
        <w:t>Wash. U. L. Rev. 653 (</w:t>
      </w:r>
      <w:r w:rsidRPr="00F02A12">
        <w:rPr>
          <w:sz w:val="20"/>
          <w:szCs w:val="20"/>
        </w:rPr>
        <w:t>2015).</w:t>
      </w:r>
    </w:p>
  </w:footnote>
  <w:footnote w:id="16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Art. 142.</w:t>
      </w:r>
    </w:p>
  </w:footnote>
  <w:footnote w:id="162">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Edward Rock et al., </w:t>
      </w:r>
      <w:r w:rsidRPr="00F02A12">
        <w:rPr>
          <w:i/>
          <w:sz w:val="20"/>
          <w:szCs w:val="20"/>
        </w:rPr>
        <w:t>Fundamental Changes</w:t>
      </w:r>
      <w:r w:rsidRPr="00F02A12">
        <w:rPr>
          <w:sz w:val="20"/>
          <w:szCs w:val="20"/>
        </w:rPr>
        <w:t xml:space="preserve">, </w:t>
      </w:r>
      <w:r w:rsidRPr="00F02A12">
        <w:rPr>
          <w:rFonts w:cs="Times New Roman"/>
          <w:i/>
          <w:sz w:val="20"/>
          <w:szCs w:val="20"/>
        </w:rPr>
        <w:t xml:space="preserve">in </w:t>
      </w:r>
      <w:r w:rsidRPr="00F02A12">
        <w:rPr>
          <w:rFonts w:cs="Times New Roman"/>
          <w:smallCaps/>
          <w:sz w:val="20"/>
          <w:szCs w:val="20"/>
        </w:rPr>
        <w:t>Anatomy of Corporate Law</w:t>
      </w:r>
      <w:r w:rsidRPr="00F02A12">
        <w:rPr>
          <w:rFonts w:cs="Times New Roman"/>
          <w:sz w:val="20"/>
          <w:szCs w:val="20"/>
        </w:rPr>
        <w:t xml:space="preserve">, </w:t>
      </w:r>
      <w:r w:rsidRPr="00F02A12">
        <w:rPr>
          <w:rFonts w:cs="Times New Roman"/>
          <w:i/>
          <w:sz w:val="20"/>
          <w:szCs w:val="20"/>
        </w:rPr>
        <w:t xml:space="preserve">supra </w:t>
      </w:r>
      <w:r w:rsidRPr="00F02A12">
        <w:rPr>
          <w:rFonts w:cs="Times New Roman"/>
          <w:sz w:val="20"/>
          <w:szCs w:val="20"/>
        </w:rPr>
        <w:t xml:space="preserve">note </w:t>
      </w:r>
      <w:r w:rsidRPr="00F02A12">
        <w:rPr>
          <w:sz w:val="20"/>
          <w:szCs w:val="20"/>
        </w:rPr>
        <w:fldChar w:fldCharType="begin"/>
      </w:r>
      <w:r w:rsidRPr="00F02A12">
        <w:rPr>
          <w:sz w:val="20"/>
          <w:szCs w:val="20"/>
        </w:rPr>
        <w:instrText xml:space="preserve"> NOTEREF _Ref451501819 \h  \* MERGEFORMAT </w:instrText>
      </w:r>
      <w:r w:rsidRPr="00F02A12">
        <w:rPr>
          <w:sz w:val="20"/>
          <w:szCs w:val="20"/>
        </w:rPr>
      </w:r>
      <w:r w:rsidRPr="00F02A12">
        <w:rPr>
          <w:sz w:val="20"/>
          <w:szCs w:val="20"/>
        </w:rPr>
        <w:fldChar w:fldCharType="separate"/>
      </w:r>
      <w:proofErr w:type="gramStart"/>
      <w:r>
        <w:rPr>
          <w:sz w:val="20"/>
          <w:szCs w:val="20"/>
        </w:rPr>
        <w:t>1</w:t>
      </w:r>
      <w:proofErr w:type="gramEnd"/>
      <w:r w:rsidRPr="00F02A12">
        <w:rPr>
          <w:sz w:val="20"/>
          <w:szCs w:val="20"/>
        </w:rPr>
        <w:fldChar w:fldCharType="end"/>
      </w:r>
      <w:r w:rsidRPr="00F02A12">
        <w:rPr>
          <w:rFonts w:cs="Times New Roman"/>
          <w:sz w:val="20"/>
          <w:szCs w:val="20"/>
        </w:rPr>
        <w:t>, at __.</w:t>
      </w:r>
    </w:p>
  </w:footnote>
  <w:footnote w:id="16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Art. 118, § </w:t>
      </w:r>
      <w:proofErr w:type="gramStart"/>
      <w:r w:rsidRPr="00F02A12">
        <w:rPr>
          <w:sz w:val="20"/>
          <w:szCs w:val="20"/>
        </w:rPr>
        <w:t>8</w:t>
      </w:r>
      <w:proofErr w:type="gramEnd"/>
      <w:r w:rsidRPr="00F02A12">
        <w:rPr>
          <w:sz w:val="20"/>
          <w:szCs w:val="20"/>
        </w:rPr>
        <w:t xml:space="preserve">º. </w:t>
      </w:r>
    </w:p>
  </w:footnote>
  <w:footnote w:id="164">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Art. 118, § </w:t>
      </w:r>
      <w:proofErr w:type="gramStart"/>
      <w:r w:rsidRPr="00F02A12">
        <w:rPr>
          <w:sz w:val="20"/>
          <w:szCs w:val="20"/>
        </w:rPr>
        <w:t>9</w:t>
      </w:r>
      <w:proofErr w:type="gramEnd"/>
      <w:r w:rsidRPr="00F02A12">
        <w:rPr>
          <w:sz w:val="20"/>
          <w:szCs w:val="20"/>
        </w:rPr>
        <w:t>º.</w:t>
      </w:r>
    </w:p>
  </w:footnote>
  <w:footnote w:id="165">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Art. 118, § </w:t>
      </w:r>
      <w:proofErr w:type="gramStart"/>
      <w:r w:rsidRPr="00F02A12">
        <w:rPr>
          <w:sz w:val="20"/>
          <w:szCs w:val="20"/>
        </w:rPr>
        <w:t>2</w:t>
      </w:r>
      <w:proofErr w:type="gramEnd"/>
      <w:r w:rsidRPr="00F02A12">
        <w:rPr>
          <w:sz w:val="20"/>
          <w:szCs w:val="20"/>
        </w:rPr>
        <w:t>º.</w:t>
      </w:r>
    </w:p>
  </w:footnote>
  <w:footnote w:id="16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proofErr w:type="spellStart"/>
      <w:r w:rsidRPr="00F02A12">
        <w:rPr>
          <w:sz w:val="20"/>
          <w:szCs w:val="20"/>
        </w:rPr>
        <w:t>Érica</w:t>
      </w:r>
      <w:proofErr w:type="spellEnd"/>
      <w:r w:rsidRPr="00F02A12">
        <w:rPr>
          <w:sz w:val="20"/>
          <w:szCs w:val="20"/>
        </w:rPr>
        <w:t xml:space="preserve"> </w:t>
      </w:r>
      <w:proofErr w:type="spellStart"/>
      <w:r w:rsidRPr="00F02A12">
        <w:rPr>
          <w:sz w:val="20"/>
          <w:szCs w:val="20"/>
        </w:rPr>
        <w:t>Gorga</w:t>
      </w:r>
      <w:proofErr w:type="spellEnd"/>
      <w:r w:rsidRPr="00F02A12">
        <w:rPr>
          <w:sz w:val="20"/>
          <w:szCs w:val="20"/>
        </w:rPr>
        <w:t xml:space="preserve"> has documented the ample use of shareholder agreements binding director votes, even with respect to matters of exclusive board authority. </w:t>
      </w:r>
      <w:proofErr w:type="spellStart"/>
      <w:r w:rsidRPr="00F02A12">
        <w:rPr>
          <w:sz w:val="20"/>
          <w:szCs w:val="20"/>
        </w:rPr>
        <w:t>Gorga</w:t>
      </w:r>
      <w:proofErr w:type="spellEnd"/>
      <w:r w:rsidRPr="00F02A12">
        <w:rPr>
          <w:sz w:val="20"/>
          <w:szCs w:val="20"/>
        </w:rPr>
        <w:t xml:space="preserve">, </w:t>
      </w:r>
      <w:r w:rsidRPr="00F02A12">
        <w:rPr>
          <w:i/>
          <w:sz w:val="20"/>
          <w:szCs w:val="20"/>
        </w:rPr>
        <w:t>Corporate Control</w:t>
      </w:r>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_Ref452970899 \h  \* MERGEFORMAT </w:instrText>
      </w:r>
      <w:r w:rsidRPr="00F02A12">
        <w:rPr>
          <w:sz w:val="20"/>
          <w:szCs w:val="20"/>
        </w:rPr>
      </w:r>
      <w:r w:rsidRPr="00F02A12">
        <w:rPr>
          <w:sz w:val="20"/>
          <w:szCs w:val="20"/>
        </w:rPr>
        <w:fldChar w:fldCharType="separate"/>
      </w:r>
      <w:r>
        <w:rPr>
          <w:sz w:val="20"/>
          <w:szCs w:val="20"/>
        </w:rPr>
        <w:t>152</w:t>
      </w:r>
      <w:r w:rsidRPr="00F02A12">
        <w:rPr>
          <w:sz w:val="20"/>
          <w:szCs w:val="20"/>
        </w:rPr>
        <w:fldChar w:fldCharType="end"/>
      </w:r>
      <w:r w:rsidRPr="00F02A12">
        <w:rPr>
          <w:sz w:val="20"/>
          <w:szCs w:val="20"/>
        </w:rPr>
        <w:t>.</w:t>
      </w:r>
    </w:p>
  </w:footnote>
  <w:footnote w:id="16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CVM relied on Art. 115, § </w:t>
      </w:r>
      <w:proofErr w:type="gramStart"/>
      <w:r w:rsidRPr="00F02A12">
        <w:rPr>
          <w:sz w:val="20"/>
          <w:szCs w:val="20"/>
        </w:rPr>
        <w:t>1</w:t>
      </w:r>
      <w:proofErr w:type="gramEnd"/>
      <w:r w:rsidRPr="00F02A12">
        <w:rPr>
          <w:sz w:val="20"/>
          <w:szCs w:val="20"/>
        </w:rPr>
        <w:t xml:space="preserve">, of the LSA, which provides that a shareholder cannot vote in any decision that may favor it in a particular manner or in which has an adverse interest to the company.  </w:t>
      </w:r>
    </w:p>
  </w:footnote>
  <w:footnote w:id="168">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lang w:val="pt-BR"/>
        </w:rPr>
        <w:t xml:space="preserve"> For a </w:t>
      </w:r>
      <w:proofErr w:type="spellStart"/>
      <w:r w:rsidRPr="00F02A12">
        <w:rPr>
          <w:sz w:val="20"/>
          <w:szCs w:val="20"/>
          <w:lang w:val="pt-BR"/>
        </w:rPr>
        <w:t>discussion</w:t>
      </w:r>
      <w:proofErr w:type="spellEnd"/>
      <w:r w:rsidRPr="00F02A12">
        <w:rPr>
          <w:sz w:val="20"/>
          <w:szCs w:val="20"/>
          <w:lang w:val="pt-BR"/>
        </w:rPr>
        <w:t xml:space="preserve"> </w:t>
      </w:r>
      <w:proofErr w:type="spellStart"/>
      <w:r w:rsidRPr="00F02A12">
        <w:rPr>
          <w:sz w:val="20"/>
          <w:szCs w:val="20"/>
          <w:lang w:val="pt-BR"/>
        </w:rPr>
        <w:t>of</w:t>
      </w:r>
      <w:proofErr w:type="spellEnd"/>
      <w:r w:rsidRPr="00F02A12">
        <w:rPr>
          <w:sz w:val="20"/>
          <w:szCs w:val="20"/>
          <w:lang w:val="pt-BR"/>
        </w:rPr>
        <w:t xml:space="preserve"> </w:t>
      </w:r>
      <w:proofErr w:type="spellStart"/>
      <w:r w:rsidRPr="00F02A12">
        <w:rPr>
          <w:sz w:val="20"/>
          <w:szCs w:val="20"/>
          <w:lang w:val="pt-BR"/>
        </w:rPr>
        <w:t>this</w:t>
      </w:r>
      <w:proofErr w:type="spellEnd"/>
      <w:r w:rsidRPr="00F02A12">
        <w:rPr>
          <w:sz w:val="20"/>
          <w:szCs w:val="20"/>
          <w:lang w:val="pt-BR"/>
        </w:rPr>
        <w:t xml:space="preserve"> case, </w:t>
      </w:r>
      <w:proofErr w:type="spellStart"/>
      <w:r w:rsidRPr="00F02A12">
        <w:rPr>
          <w:i/>
          <w:sz w:val="20"/>
          <w:szCs w:val="20"/>
          <w:lang w:val="pt-BR"/>
        </w:rPr>
        <w:t>see</w:t>
      </w:r>
      <w:proofErr w:type="spellEnd"/>
      <w:r w:rsidRPr="00F02A12">
        <w:rPr>
          <w:i/>
          <w:sz w:val="20"/>
          <w:szCs w:val="20"/>
          <w:lang w:val="pt-BR"/>
        </w:rPr>
        <w:t xml:space="preserve"> </w:t>
      </w:r>
      <w:r w:rsidRPr="00F02A12">
        <w:rPr>
          <w:sz w:val="20"/>
          <w:szCs w:val="20"/>
          <w:lang w:val="pt-BR"/>
        </w:rPr>
        <w:t xml:space="preserve">Mario Engler Pinto Junior, </w:t>
      </w:r>
      <w:r w:rsidRPr="00F02A12">
        <w:rPr>
          <w:i/>
          <w:sz w:val="20"/>
          <w:szCs w:val="20"/>
          <w:lang w:val="pt-BR"/>
        </w:rPr>
        <w:t>Exercício do Controle Acionário na Empresa Estatal: Comentários a Decisão da CVM no Caso Eletrobrás</w:t>
      </w:r>
      <w:r w:rsidRPr="00F02A12">
        <w:rPr>
          <w:sz w:val="20"/>
          <w:szCs w:val="20"/>
          <w:lang w:val="pt-BR"/>
        </w:rPr>
        <w:t xml:space="preserve"> (2016), </w:t>
      </w:r>
      <w:hyperlink r:id="rId9" w:history="1">
        <w:r w:rsidRPr="00F02A12">
          <w:rPr>
            <w:rStyle w:val="Hyperlink"/>
            <w:sz w:val="20"/>
            <w:szCs w:val="20"/>
            <w:lang w:val="pt-BR"/>
          </w:rPr>
          <w:t>http://ssrn.com/abstract=2765264</w:t>
        </w:r>
      </w:hyperlink>
      <w:r w:rsidRPr="00F02A12">
        <w:rPr>
          <w:sz w:val="20"/>
          <w:szCs w:val="20"/>
          <w:lang w:val="pt-BR"/>
        </w:rPr>
        <w:t xml:space="preserve">. </w:t>
      </w:r>
    </w:p>
  </w:footnote>
  <w:footnote w:id="16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Arts. 138, § </w:t>
      </w:r>
      <w:proofErr w:type="gramStart"/>
      <w:r w:rsidRPr="00F02A12">
        <w:rPr>
          <w:sz w:val="20"/>
          <w:szCs w:val="20"/>
        </w:rPr>
        <w:t>2</w:t>
      </w:r>
      <w:proofErr w:type="gramEnd"/>
      <w:r w:rsidRPr="00F02A12">
        <w:rPr>
          <w:sz w:val="20"/>
          <w:szCs w:val="20"/>
        </w:rPr>
        <w:t xml:space="preserve">º, and 239. </w:t>
      </w:r>
    </w:p>
  </w:footnote>
  <w:footnote w:id="170">
    <w:p w:rsidR="000373FF" w:rsidRPr="00F02A12" w:rsidRDefault="000373FF" w:rsidP="00F02A12">
      <w:pPr>
        <w:pStyle w:val="Textodenotaderodap"/>
        <w:jc w:val="both"/>
        <w:rPr>
          <w:sz w:val="20"/>
          <w:szCs w:val="20"/>
          <w:lang w:val="fr-FR"/>
        </w:rPr>
      </w:pPr>
      <w:r w:rsidRPr="00F02A12">
        <w:rPr>
          <w:rStyle w:val="Refdenotaderodap"/>
          <w:sz w:val="20"/>
          <w:szCs w:val="20"/>
        </w:rPr>
        <w:footnoteRef/>
      </w:r>
      <w:r w:rsidRPr="00F02A12">
        <w:rPr>
          <w:sz w:val="20"/>
          <w:szCs w:val="20"/>
        </w:rPr>
        <w:t xml:space="preserve"> Decree-law 2,627 of Sep. 26, 1940, arts. </w:t>
      </w:r>
      <w:r w:rsidRPr="00F02A12">
        <w:rPr>
          <w:sz w:val="20"/>
          <w:szCs w:val="20"/>
          <w:lang w:val="fr-FR"/>
        </w:rPr>
        <w:t xml:space="preserve">116 et </w:t>
      </w:r>
      <w:proofErr w:type="spellStart"/>
      <w:r w:rsidRPr="00F02A12">
        <w:rPr>
          <w:sz w:val="20"/>
          <w:szCs w:val="20"/>
          <w:lang w:val="fr-FR"/>
        </w:rPr>
        <w:t>seq</w:t>
      </w:r>
      <w:proofErr w:type="spellEnd"/>
      <w:r w:rsidRPr="00F02A12">
        <w:rPr>
          <w:sz w:val="20"/>
          <w:szCs w:val="20"/>
          <w:lang w:val="fr-FR"/>
        </w:rPr>
        <w:t xml:space="preserve">. </w:t>
      </w:r>
      <w:proofErr w:type="gramStart"/>
      <w:r w:rsidRPr="00F02A12">
        <w:rPr>
          <w:sz w:val="20"/>
          <w:szCs w:val="20"/>
          <w:lang w:val="fr-FR"/>
        </w:rPr>
        <w:t>and</w:t>
      </w:r>
      <w:proofErr w:type="gramEnd"/>
      <w:r w:rsidRPr="00F02A12">
        <w:rPr>
          <w:sz w:val="20"/>
          <w:szCs w:val="20"/>
          <w:lang w:val="fr-FR"/>
        </w:rPr>
        <w:t xml:space="preserve"> 124 et </w:t>
      </w:r>
      <w:proofErr w:type="spellStart"/>
      <w:r w:rsidRPr="00F02A12">
        <w:rPr>
          <w:sz w:val="20"/>
          <w:szCs w:val="20"/>
          <w:lang w:val="fr-FR"/>
        </w:rPr>
        <w:t>seq</w:t>
      </w:r>
      <w:proofErr w:type="spellEnd"/>
      <w:r w:rsidRPr="00F02A12">
        <w:rPr>
          <w:sz w:val="20"/>
          <w:szCs w:val="20"/>
          <w:lang w:val="fr-FR"/>
        </w:rPr>
        <w:t>.</w:t>
      </w:r>
    </w:p>
  </w:footnote>
  <w:footnote w:id="17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See</w:t>
      </w:r>
      <w:r w:rsidRPr="00F02A12">
        <w:rPr>
          <w:sz w:val="20"/>
          <w:szCs w:val="20"/>
        </w:rPr>
        <w:t xml:space="preserve">, </w:t>
      </w:r>
      <w:r w:rsidRPr="00F02A12">
        <w:rPr>
          <w:i/>
          <w:sz w:val="20"/>
          <w:szCs w:val="20"/>
        </w:rPr>
        <w:t>e.g.</w:t>
      </w:r>
      <w:r w:rsidRPr="00F02A12">
        <w:rPr>
          <w:sz w:val="20"/>
          <w:szCs w:val="20"/>
        </w:rPr>
        <w:t>,</w:t>
      </w:r>
      <w:r w:rsidRPr="00F02A12">
        <w:rPr>
          <w:i/>
          <w:sz w:val="20"/>
          <w:szCs w:val="20"/>
        </w:rPr>
        <w:t xml:space="preserve"> </w:t>
      </w:r>
      <w:proofErr w:type="spellStart"/>
      <w:r w:rsidRPr="00F02A12">
        <w:rPr>
          <w:sz w:val="20"/>
          <w:szCs w:val="20"/>
        </w:rPr>
        <w:t>Parecer</w:t>
      </w:r>
      <w:proofErr w:type="spellEnd"/>
      <w:r w:rsidRPr="00F02A12">
        <w:rPr>
          <w:sz w:val="20"/>
          <w:szCs w:val="20"/>
        </w:rPr>
        <w:t xml:space="preserve"> de </w:t>
      </w:r>
      <w:proofErr w:type="spellStart"/>
      <w:r w:rsidRPr="00F02A12">
        <w:rPr>
          <w:sz w:val="20"/>
          <w:szCs w:val="20"/>
        </w:rPr>
        <w:t>Orientação</w:t>
      </w:r>
      <w:proofErr w:type="spellEnd"/>
      <w:r w:rsidRPr="00F02A12">
        <w:rPr>
          <w:sz w:val="20"/>
          <w:szCs w:val="20"/>
        </w:rPr>
        <w:t xml:space="preserve"> CVM [CVM Advisory Opinion] No. 35 (2008).</w:t>
      </w:r>
    </w:p>
  </w:footnote>
  <w:footnote w:id="172">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On shareholder agreements, </w:t>
      </w:r>
      <w:r w:rsidRPr="00F02A12">
        <w:rPr>
          <w:i/>
          <w:sz w:val="20"/>
          <w:szCs w:val="20"/>
        </w:rPr>
        <w:t xml:space="preserve">see </w:t>
      </w:r>
      <w:proofErr w:type="spellStart"/>
      <w:r w:rsidRPr="00F02A12">
        <w:rPr>
          <w:sz w:val="20"/>
          <w:szCs w:val="20"/>
        </w:rPr>
        <w:t>Gorga</w:t>
      </w:r>
      <w:proofErr w:type="spellEnd"/>
      <w:r w:rsidRPr="00F02A12">
        <w:rPr>
          <w:sz w:val="20"/>
          <w:szCs w:val="20"/>
        </w:rPr>
        <w:t xml:space="preserve">, </w:t>
      </w:r>
      <w:r w:rsidRPr="00F02A12">
        <w:rPr>
          <w:i/>
          <w:sz w:val="20"/>
          <w:szCs w:val="20"/>
        </w:rPr>
        <w:t>id.</w:t>
      </w:r>
      <w:r w:rsidRPr="00F02A12">
        <w:rPr>
          <w:sz w:val="20"/>
          <w:szCs w:val="20"/>
        </w:rPr>
        <w:t xml:space="preserve"> </w:t>
      </w:r>
    </w:p>
  </w:footnote>
  <w:footnote w:id="173">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LSA, Art. 36. </w:t>
      </w:r>
    </w:p>
  </w:footnote>
  <w:footnote w:id="174">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i/>
          <w:sz w:val="20"/>
          <w:szCs w:val="20"/>
        </w:rPr>
        <w:t>Id.</w:t>
      </w:r>
      <w:r w:rsidRPr="00F02A12">
        <w:rPr>
          <w:rFonts w:cs="Times New Roman"/>
          <w:sz w:val="20"/>
          <w:szCs w:val="20"/>
        </w:rPr>
        <w:t xml:space="preserve">, sole paragraph. </w:t>
      </w:r>
    </w:p>
  </w:footnote>
  <w:footnote w:id="175">
    <w:p w:rsidR="000373FF" w:rsidRPr="000373FF" w:rsidRDefault="000373FF" w:rsidP="00F02A12">
      <w:pPr>
        <w:pStyle w:val="Textodenotaderodap"/>
        <w:jc w:val="both"/>
        <w:rPr>
          <w:sz w:val="20"/>
          <w:szCs w:val="20"/>
          <w:lang w:val="pt-BR"/>
        </w:rPr>
      </w:pPr>
      <w:r w:rsidRPr="00F02A12">
        <w:rPr>
          <w:rStyle w:val="Refdenotaderodap"/>
          <w:sz w:val="20"/>
          <w:szCs w:val="20"/>
        </w:rPr>
        <w:footnoteRef/>
      </w:r>
      <w:r w:rsidRPr="000373FF">
        <w:rPr>
          <w:sz w:val="20"/>
          <w:szCs w:val="20"/>
          <w:lang w:val="pt-BR"/>
        </w:rPr>
        <w:t xml:space="preserve"> John </w:t>
      </w:r>
      <w:proofErr w:type="spellStart"/>
      <w:r w:rsidRPr="000373FF">
        <w:rPr>
          <w:sz w:val="20"/>
          <w:szCs w:val="20"/>
          <w:lang w:val="pt-BR"/>
        </w:rPr>
        <w:t>Armour</w:t>
      </w:r>
      <w:proofErr w:type="spellEnd"/>
      <w:r w:rsidRPr="000373FF">
        <w:rPr>
          <w:sz w:val="20"/>
          <w:szCs w:val="20"/>
          <w:lang w:val="pt-BR"/>
        </w:rPr>
        <w:t xml:space="preserve"> et al., </w:t>
      </w:r>
      <w:r w:rsidRPr="000373FF">
        <w:rPr>
          <w:i/>
          <w:sz w:val="20"/>
          <w:szCs w:val="20"/>
          <w:lang w:val="pt-BR"/>
        </w:rPr>
        <w:t xml:space="preserve">supra </w:t>
      </w:r>
      <w:r w:rsidRPr="000373FF">
        <w:rPr>
          <w:sz w:val="20"/>
          <w:szCs w:val="20"/>
          <w:lang w:val="pt-BR"/>
        </w:rPr>
        <w:t xml:space="preserve">note </w:t>
      </w:r>
      <w:r w:rsidRPr="00F02A12">
        <w:rPr>
          <w:sz w:val="20"/>
          <w:szCs w:val="20"/>
        </w:rPr>
        <w:fldChar w:fldCharType="begin"/>
      </w:r>
      <w:r w:rsidRPr="000373FF">
        <w:rPr>
          <w:sz w:val="20"/>
          <w:szCs w:val="20"/>
          <w:lang w:val="pt-BR"/>
        </w:rPr>
        <w:instrText xml:space="preserve"> NOTEREF _Ref451501819 \h  \* MERGEFORMAT </w:instrText>
      </w:r>
      <w:r w:rsidRPr="00F02A12">
        <w:rPr>
          <w:sz w:val="20"/>
          <w:szCs w:val="20"/>
        </w:rPr>
      </w:r>
      <w:r w:rsidRPr="00F02A12">
        <w:rPr>
          <w:sz w:val="20"/>
          <w:szCs w:val="20"/>
        </w:rPr>
        <w:fldChar w:fldCharType="separate"/>
      </w:r>
      <w:r w:rsidRPr="000373FF">
        <w:rPr>
          <w:sz w:val="20"/>
          <w:szCs w:val="20"/>
          <w:lang w:val="pt-BR"/>
        </w:rPr>
        <w:t>1</w:t>
      </w:r>
      <w:r w:rsidRPr="00F02A12">
        <w:rPr>
          <w:sz w:val="20"/>
          <w:szCs w:val="20"/>
        </w:rPr>
        <w:fldChar w:fldCharType="end"/>
      </w:r>
      <w:r w:rsidRPr="000373FF">
        <w:rPr>
          <w:sz w:val="20"/>
          <w:szCs w:val="20"/>
          <w:lang w:val="pt-BR"/>
        </w:rPr>
        <w:t xml:space="preserve">, </w:t>
      </w:r>
      <w:proofErr w:type="spellStart"/>
      <w:r w:rsidRPr="000373FF">
        <w:rPr>
          <w:sz w:val="20"/>
          <w:szCs w:val="20"/>
          <w:lang w:val="pt-BR"/>
        </w:rPr>
        <w:t>at</w:t>
      </w:r>
      <w:proofErr w:type="spellEnd"/>
      <w:r w:rsidRPr="000373FF">
        <w:rPr>
          <w:sz w:val="20"/>
          <w:szCs w:val="20"/>
          <w:lang w:val="pt-BR"/>
        </w:rPr>
        <w:t xml:space="preserve"> __. </w:t>
      </w:r>
    </w:p>
  </w:footnote>
  <w:footnote w:id="176">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lang w:val="pt-BR"/>
        </w:rPr>
        <w:t xml:space="preserve"> </w:t>
      </w:r>
      <w:proofErr w:type="spellStart"/>
      <w:r w:rsidRPr="00F02A12">
        <w:rPr>
          <w:sz w:val="20"/>
          <w:szCs w:val="20"/>
          <w:lang w:val="pt-BR"/>
        </w:rPr>
        <w:t>Yuki</w:t>
      </w:r>
      <w:proofErr w:type="spellEnd"/>
      <w:r w:rsidRPr="00F02A12">
        <w:rPr>
          <w:sz w:val="20"/>
          <w:szCs w:val="20"/>
          <w:lang w:val="pt-BR"/>
        </w:rPr>
        <w:t xml:space="preserve"> </w:t>
      </w:r>
      <w:proofErr w:type="spellStart"/>
      <w:r w:rsidRPr="00F02A12">
        <w:rPr>
          <w:sz w:val="20"/>
          <w:szCs w:val="20"/>
          <w:lang w:val="pt-BR"/>
        </w:rPr>
        <w:t>Yokoi</w:t>
      </w:r>
      <w:proofErr w:type="spellEnd"/>
      <w:r w:rsidRPr="00F02A12">
        <w:rPr>
          <w:sz w:val="20"/>
          <w:szCs w:val="20"/>
          <w:lang w:val="pt-BR"/>
        </w:rPr>
        <w:t xml:space="preserve">, </w:t>
      </w:r>
      <w:r w:rsidRPr="00F02A12">
        <w:rPr>
          <w:i/>
          <w:sz w:val="20"/>
          <w:szCs w:val="20"/>
          <w:lang w:val="pt-BR"/>
        </w:rPr>
        <w:t xml:space="preserve">Por Que Algumas Empresas Ainda Mantêm o Capital Aberto e As Ações </w:t>
      </w:r>
      <w:proofErr w:type="gramStart"/>
      <w:r w:rsidRPr="00F02A12">
        <w:rPr>
          <w:i/>
          <w:sz w:val="20"/>
          <w:szCs w:val="20"/>
          <w:lang w:val="pt-BR"/>
        </w:rPr>
        <w:t>Listadas?</w:t>
      </w:r>
      <w:r w:rsidRPr="00F02A12">
        <w:rPr>
          <w:sz w:val="20"/>
          <w:szCs w:val="20"/>
          <w:lang w:val="pt-BR"/>
        </w:rPr>
        <w:t>,</w:t>
      </w:r>
      <w:proofErr w:type="gramEnd"/>
      <w:r w:rsidRPr="00F02A12">
        <w:rPr>
          <w:sz w:val="20"/>
          <w:szCs w:val="20"/>
          <w:lang w:val="pt-BR"/>
        </w:rPr>
        <w:t xml:space="preserve"> </w:t>
      </w:r>
      <w:r w:rsidRPr="00F02A12">
        <w:rPr>
          <w:smallCaps/>
          <w:sz w:val="20"/>
          <w:szCs w:val="20"/>
          <w:lang w:val="pt-BR"/>
        </w:rPr>
        <w:t>Capital Aberto</w:t>
      </w:r>
      <w:r w:rsidRPr="00F02A12">
        <w:rPr>
          <w:sz w:val="20"/>
          <w:szCs w:val="20"/>
          <w:lang w:val="pt-BR"/>
        </w:rPr>
        <w:t xml:space="preserve">, Sep. 1, 2009. </w:t>
      </w:r>
    </w:p>
  </w:footnote>
  <w:footnote w:id="17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Art. 254-A;  </w:t>
      </w:r>
    </w:p>
  </w:footnote>
  <w:footnote w:id="17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See</w:t>
      </w:r>
      <w:r w:rsidRPr="00F02A12">
        <w:rPr>
          <w:sz w:val="20"/>
          <w:szCs w:val="20"/>
        </w:rPr>
        <w:t xml:space="preserve">, </w:t>
      </w:r>
      <w:r w:rsidRPr="00F02A12">
        <w:rPr>
          <w:i/>
          <w:sz w:val="20"/>
          <w:szCs w:val="20"/>
        </w:rPr>
        <w:t>e.g.</w:t>
      </w:r>
      <w:r w:rsidRPr="00F02A12">
        <w:rPr>
          <w:sz w:val="20"/>
          <w:szCs w:val="20"/>
        </w:rPr>
        <w:t>,</w:t>
      </w:r>
      <w:r w:rsidRPr="00F02A12">
        <w:rPr>
          <w:i/>
          <w:sz w:val="20"/>
          <w:szCs w:val="20"/>
        </w:rPr>
        <w:t xml:space="preserve"> </w:t>
      </w:r>
      <w:r w:rsidRPr="00F02A12">
        <w:rPr>
          <w:sz w:val="20"/>
          <w:szCs w:val="20"/>
        </w:rPr>
        <w:t xml:space="preserve">Lucian A. </w:t>
      </w:r>
      <w:proofErr w:type="spellStart"/>
      <w:r w:rsidRPr="00F02A12">
        <w:rPr>
          <w:sz w:val="20"/>
          <w:szCs w:val="20"/>
        </w:rPr>
        <w:t>Bebchuk</w:t>
      </w:r>
      <w:proofErr w:type="spellEnd"/>
      <w:r w:rsidRPr="00F02A12">
        <w:rPr>
          <w:sz w:val="20"/>
          <w:szCs w:val="20"/>
        </w:rPr>
        <w:t xml:space="preserve">, </w:t>
      </w:r>
      <w:r w:rsidRPr="00F02A12">
        <w:rPr>
          <w:i/>
          <w:sz w:val="20"/>
          <w:szCs w:val="20"/>
        </w:rPr>
        <w:t>Efficient and Inefficient Sales of Corporate Control</w:t>
      </w:r>
      <w:r w:rsidRPr="00F02A12">
        <w:rPr>
          <w:sz w:val="20"/>
          <w:szCs w:val="20"/>
        </w:rPr>
        <w:t xml:space="preserve">, 1994 </w:t>
      </w:r>
      <w:r w:rsidRPr="00F02A12">
        <w:rPr>
          <w:smallCaps/>
          <w:sz w:val="20"/>
          <w:szCs w:val="20"/>
        </w:rPr>
        <w:t>Q.J. Econ.</w:t>
      </w:r>
      <w:r w:rsidRPr="00F02A12">
        <w:rPr>
          <w:sz w:val="20"/>
          <w:szCs w:val="20"/>
        </w:rPr>
        <w:t xml:space="preserve"> 957. </w:t>
      </w:r>
    </w:p>
  </w:footnote>
  <w:footnote w:id="17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proofErr w:type="spellStart"/>
      <w:r w:rsidRPr="00F02A12">
        <w:rPr>
          <w:sz w:val="20"/>
          <w:szCs w:val="20"/>
        </w:rPr>
        <w:t>Dyck</w:t>
      </w:r>
      <w:proofErr w:type="spellEnd"/>
      <w:r w:rsidRPr="00F02A12">
        <w:rPr>
          <w:sz w:val="20"/>
          <w:szCs w:val="20"/>
        </w:rPr>
        <w:t xml:space="preserve"> &amp; </w:t>
      </w:r>
      <w:proofErr w:type="spellStart"/>
      <w:r w:rsidRPr="00F02A12">
        <w:rPr>
          <w:sz w:val="20"/>
          <w:szCs w:val="20"/>
        </w:rPr>
        <w:t>Zingales</w:t>
      </w:r>
      <w:proofErr w:type="spellEnd"/>
      <w:r w:rsidRPr="00F02A12">
        <w:rPr>
          <w:sz w:val="20"/>
          <w:szCs w:val="20"/>
        </w:rPr>
        <w:t xml:space="preserve">, </w:t>
      </w:r>
      <w:r w:rsidRPr="00F02A12">
        <w:rPr>
          <w:i/>
          <w:sz w:val="20"/>
          <w:szCs w:val="20"/>
        </w:rPr>
        <w:t xml:space="preserve">supra </w:t>
      </w:r>
      <w:r w:rsidRPr="00F02A12">
        <w:rPr>
          <w:sz w:val="20"/>
          <w:szCs w:val="20"/>
        </w:rPr>
        <w:t xml:space="preserve">note 5, at 538 (analyzing the control premium paid in sales of control transactions, and estimating private benefits of control that ranged from +65% in Brazil to -4% in Japan). </w:t>
      </w:r>
    </w:p>
  </w:footnote>
  <w:footnote w:id="180">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Tomas </w:t>
      </w:r>
      <w:proofErr w:type="spellStart"/>
      <w:r w:rsidRPr="00F02A12">
        <w:rPr>
          <w:sz w:val="20"/>
          <w:szCs w:val="20"/>
        </w:rPr>
        <w:t>Alvarenga</w:t>
      </w:r>
      <w:proofErr w:type="spellEnd"/>
      <w:r w:rsidRPr="00F02A12">
        <w:rPr>
          <w:sz w:val="20"/>
          <w:szCs w:val="20"/>
        </w:rPr>
        <w:t xml:space="preserve">, </w:t>
      </w:r>
      <w:r w:rsidRPr="00F02A12">
        <w:rPr>
          <w:i/>
          <w:sz w:val="20"/>
          <w:szCs w:val="20"/>
        </w:rPr>
        <w:t>Private Benefits of Control in Brazil: What Has Changed in the Past Ten Years?</w:t>
      </w:r>
      <w:r w:rsidRPr="00F02A12">
        <w:rPr>
          <w:sz w:val="20"/>
          <w:szCs w:val="20"/>
        </w:rPr>
        <w:t xml:space="preserve"> (working paper, 2016) (</w:t>
      </w:r>
      <w:proofErr w:type="gramStart"/>
      <w:r w:rsidRPr="00F02A12">
        <w:rPr>
          <w:sz w:val="20"/>
          <w:szCs w:val="20"/>
        </w:rPr>
        <w:t>on</w:t>
      </w:r>
      <w:proofErr w:type="gramEnd"/>
      <w:r w:rsidRPr="00F02A12">
        <w:rPr>
          <w:sz w:val="20"/>
          <w:szCs w:val="20"/>
        </w:rPr>
        <w:t xml:space="preserve"> file with author).</w:t>
      </w:r>
    </w:p>
  </w:footnote>
  <w:footnote w:id="181">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rPr>
        <w:t xml:space="preserve"> While poison pill provisions purported to be “unamendable,” the CVM has opined that such dead-hand clauses are contrary to Brazilian law and therefore unenforceable. </w:t>
      </w:r>
      <w:proofErr w:type="spellStart"/>
      <w:r w:rsidRPr="00F02A12">
        <w:rPr>
          <w:i/>
          <w:sz w:val="20"/>
          <w:szCs w:val="20"/>
          <w:lang w:val="pt-BR"/>
        </w:rPr>
        <w:t>See</w:t>
      </w:r>
      <w:proofErr w:type="spellEnd"/>
      <w:r w:rsidRPr="00F02A12">
        <w:rPr>
          <w:i/>
          <w:sz w:val="20"/>
          <w:szCs w:val="20"/>
          <w:lang w:val="pt-BR"/>
        </w:rPr>
        <w:t xml:space="preserve"> </w:t>
      </w:r>
      <w:r w:rsidRPr="00F02A12">
        <w:rPr>
          <w:sz w:val="20"/>
          <w:szCs w:val="20"/>
          <w:lang w:val="pt-BR"/>
        </w:rPr>
        <w:t xml:space="preserve">Gilson et al., </w:t>
      </w:r>
      <w:r w:rsidRPr="00F02A12">
        <w:rPr>
          <w:i/>
          <w:sz w:val="20"/>
          <w:szCs w:val="20"/>
          <w:lang w:val="pt-BR"/>
        </w:rPr>
        <w:t xml:space="preserve">supra </w:t>
      </w:r>
      <w:r w:rsidRPr="00F02A12">
        <w:rPr>
          <w:sz w:val="20"/>
          <w:szCs w:val="20"/>
          <w:lang w:val="pt-BR"/>
        </w:rPr>
        <w:t xml:space="preserve">note </w:t>
      </w:r>
      <w:r w:rsidRPr="00F02A12">
        <w:rPr>
          <w:sz w:val="20"/>
          <w:szCs w:val="20"/>
        </w:rPr>
        <w:fldChar w:fldCharType="begin"/>
      </w:r>
      <w:r w:rsidRPr="00F02A12">
        <w:rPr>
          <w:sz w:val="20"/>
          <w:szCs w:val="20"/>
          <w:lang w:val="pt-BR"/>
        </w:rPr>
        <w:instrText xml:space="preserve"> NOTEREF _Ref456099748 \h  \* MERGEFORMAT </w:instrText>
      </w:r>
      <w:r w:rsidRPr="00F02A12">
        <w:rPr>
          <w:sz w:val="20"/>
          <w:szCs w:val="20"/>
        </w:rPr>
      </w:r>
      <w:r w:rsidRPr="00F02A12">
        <w:rPr>
          <w:sz w:val="20"/>
          <w:szCs w:val="20"/>
        </w:rPr>
        <w:fldChar w:fldCharType="separate"/>
      </w:r>
      <w:r>
        <w:rPr>
          <w:sz w:val="20"/>
          <w:szCs w:val="20"/>
          <w:lang w:val="pt-BR"/>
        </w:rPr>
        <w:t>147</w:t>
      </w:r>
      <w:r w:rsidRPr="00F02A12">
        <w:rPr>
          <w:sz w:val="20"/>
          <w:szCs w:val="20"/>
        </w:rPr>
        <w:fldChar w:fldCharType="end"/>
      </w:r>
      <w:r w:rsidRPr="00F02A12">
        <w:rPr>
          <w:sz w:val="20"/>
          <w:szCs w:val="20"/>
          <w:lang w:val="pt-BR"/>
        </w:rPr>
        <w:t xml:space="preserve">, </w:t>
      </w:r>
      <w:proofErr w:type="spellStart"/>
      <w:r w:rsidRPr="00F02A12">
        <w:rPr>
          <w:sz w:val="20"/>
          <w:szCs w:val="20"/>
          <w:lang w:val="pt-BR"/>
        </w:rPr>
        <w:t>at</w:t>
      </w:r>
      <w:proofErr w:type="spellEnd"/>
      <w:r w:rsidRPr="00F02A12">
        <w:rPr>
          <w:sz w:val="20"/>
          <w:szCs w:val="20"/>
          <w:lang w:val="pt-BR"/>
        </w:rPr>
        <w:t xml:space="preserve"> 499. For a critique </w:t>
      </w:r>
      <w:proofErr w:type="spellStart"/>
      <w:r w:rsidRPr="00F02A12">
        <w:rPr>
          <w:sz w:val="20"/>
          <w:szCs w:val="20"/>
          <w:lang w:val="pt-BR"/>
        </w:rPr>
        <w:t>of</w:t>
      </w:r>
      <w:proofErr w:type="spellEnd"/>
      <w:r w:rsidRPr="00F02A12">
        <w:rPr>
          <w:sz w:val="20"/>
          <w:szCs w:val="20"/>
          <w:lang w:val="pt-BR"/>
        </w:rPr>
        <w:t xml:space="preserve"> </w:t>
      </w:r>
      <w:proofErr w:type="spellStart"/>
      <w:r w:rsidRPr="00F02A12">
        <w:rPr>
          <w:sz w:val="20"/>
          <w:szCs w:val="20"/>
          <w:lang w:val="pt-BR"/>
        </w:rPr>
        <w:t>Brazilian</w:t>
      </w:r>
      <w:proofErr w:type="spellEnd"/>
      <w:r w:rsidRPr="00F02A12">
        <w:rPr>
          <w:sz w:val="20"/>
          <w:szCs w:val="20"/>
          <w:lang w:val="pt-BR"/>
        </w:rPr>
        <w:t xml:space="preserve"> </w:t>
      </w:r>
      <w:proofErr w:type="spellStart"/>
      <w:r w:rsidRPr="00F02A12">
        <w:rPr>
          <w:sz w:val="20"/>
          <w:szCs w:val="20"/>
          <w:lang w:val="pt-BR"/>
        </w:rPr>
        <w:t>poison</w:t>
      </w:r>
      <w:proofErr w:type="spellEnd"/>
      <w:r w:rsidRPr="00F02A12">
        <w:rPr>
          <w:sz w:val="20"/>
          <w:szCs w:val="20"/>
          <w:lang w:val="pt-BR"/>
        </w:rPr>
        <w:t xml:space="preserve"> </w:t>
      </w:r>
      <w:proofErr w:type="spellStart"/>
      <w:r w:rsidRPr="00F02A12">
        <w:rPr>
          <w:sz w:val="20"/>
          <w:szCs w:val="20"/>
          <w:lang w:val="pt-BR"/>
        </w:rPr>
        <w:t>pills</w:t>
      </w:r>
      <w:proofErr w:type="spellEnd"/>
      <w:r w:rsidRPr="00F02A12">
        <w:rPr>
          <w:sz w:val="20"/>
          <w:szCs w:val="20"/>
          <w:lang w:val="pt-BR"/>
        </w:rPr>
        <w:t>,</w:t>
      </w:r>
      <w:r w:rsidRPr="00F02A12">
        <w:rPr>
          <w:i/>
          <w:sz w:val="20"/>
          <w:szCs w:val="20"/>
          <w:lang w:val="pt-BR"/>
        </w:rPr>
        <w:t xml:space="preserve"> </w:t>
      </w:r>
      <w:proofErr w:type="spellStart"/>
      <w:r w:rsidRPr="00F02A12">
        <w:rPr>
          <w:i/>
          <w:sz w:val="20"/>
          <w:szCs w:val="20"/>
          <w:lang w:val="pt-BR"/>
        </w:rPr>
        <w:t>see</w:t>
      </w:r>
      <w:proofErr w:type="spellEnd"/>
      <w:r w:rsidRPr="00F02A12">
        <w:rPr>
          <w:i/>
          <w:sz w:val="20"/>
          <w:szCs w:val="20"/>
          <w:lang w:val="pt-BR"/>
        </w:rPr>
        <w:t xml:space="preserve"> </w:t>
      </w:r>
      <w:r w:rsidRPr="00F02A12">
        <w:rPr>
          <w:sz w:val="20"/>
          <w:szCs w:val="20"/>
          <w:lang w:val="pt-BR"/>
        </w:rPr>
        <w:t xml:space="preserve">Carlos Klein </w:t>
      </w:r>
      <w:proofErr w:type="spellStart"/>
      <w:r w:rsidRPr="00F02A12">
        <w:rPr>
          <w:sz w:val="20"/>
          <w:szCs w:val="20"/>
          <w:lang w:val="pt-BR"/>
        </w:rPr>
        <w:t>Zanini</w:t>
      </w:r>
      <w:proofErr w:type="spellEnd"/>
      <w:r w:rsidRPr="00F02A12">
        <w:rPr>
          <w:sz w:val="20"/>
          <w:szCs w:val="20"/>
          <w:lang w:val="pt-BR"/>
        </w:rPr>
        <w:t xml:space="preserve">, A </w:t>
      </w:r>
      <w:proofErr w:type="spellStart"/>
      <w:r w:rsidRPr="00F02A12">
        <w:rPr>
          <w:i/>
          <w:sz w:val="20"/>
          <w:szCs w:val="20"/>
          <w:lang w:val="pt-BR"/>
        </w:rPr>
        <w:t>Poison</w:t>
      </w:r>
      <w:proofErr w:type="spellEnd"/>
      <w:r w:rsidRPr="00F02A12">
        <w:rPr>
          <w:i/>
          <w:sz w:val="20"/>
          <w:szCs w:val="20"/>
          <w:lang w:val="pt-BR"/>
        </w:rPr>
        <w:t xml:space="preserve"> </w:t>
      </w:r>
      <w:proofErr w:type="spellStart"/>
      <w:r w:rsidRPr="00F02A12">
        <w:rPr>
          <w:i/>
          <w:sz w:val="20"/>
          <w:szCs w:val="20"/>
          <w:lang w:val="pt-BR"/>
        </w:rPr>
        <w:t>Pill</w:t>
      </w:r>
      <w:proofErr w:type="spellEnd"/>
      <w:r w:rsidRPr="00F02A12">
        <w:rPr>
          <w:i/>
          <w:sz w:val="20"/>
          <w:szCs w:val="20"/>
          <w:lang w:val="pt-BR"/>
        </w:rPr>
        <w:t xml:space="preserve"> Brasileira: Desvirtuamento, Antijuridicidade e Ineficiência</w:t>
      </w:r>
      <w:r w:rsidRPr="00F02A12">
        <w:rPr>
          <w:sz w:val="20"/>
          <w:szCs w:val="20"/>
          <w:lang w:val="pt-BR"/>
        </w:rPr>
        <w:t xml:space="preserve">, </w:t>
      </w:r>
      <w:r w:rsidRPr="00F02A12">
        <w:rPr>
          <w:i/>
          <w:sz w:val="20"/>
          <w:szCs w:val="20"/>
          <w:lang w:val="pt-BR"/>
        </w:rPr>
        <w:t xml:space="preserve">in </w:t>
      </w:r>
      <w:r w:rsidRPr="00F02A12">
        <w:rPr>
          <w:smallCaps/>
          <w:sz w:val="20"/>
          <w:szCs w:val="20"/>
          <w:lang w:val="pt-BR"/>
        </w:rPr>
        <w:t xml:space="preserve">Temas de Direito Societário e Empresarial </w:t>
      </w:r>
      <w:proofErr w:type="spellStart"/>
      <w:r w:rsidRPr="00F02A12">
        <w:rPr>
          <w:smallCaps/>
          <w:sz w:val="20"/>
          <w:szCs w:val="20"/>
          <w:lang w:val="pt-BR"/>
        </w:rPr>
        <w:t>Conteporâneos</w:t>
      </w:r>
      <w:proofErr w:type="spellEnd"/>
      <w:r w:rsidRPr="00F02A12">
        <w:rPr>
          <w:sz w:val="20"/>
          <w:szCs w:val="20"/>
          <w:lang w:val="pt-BR"/>
        </w:rPr>
        <w:t xml:space="preserve"> (Marcelo von </w:t>
      </w:r>
      <w:proofErr w:type="spellStart"/>
      <w:r w:rsidRPr="00F02A12">
        <w:rPr>
          <w:sz w:val="20"/>
          <w:szCs w:val="20"/>
          <w:lang w:val="pt-BR"/>
        </w:rPr>
        <w:t>Adamek</w:t>
      </w:r>
      <w:proofErr w:type="spellEnd"/>
      <w:r w:rsidRPr="00F02A12">
        <w:rPr>
          <w:sz w:val="20"/>
          <w:szCs w:val="20"/>
          <w:lang w:val="pt-BR"/>
        </w:rPr>
        <w:t xml:space="preserve"> ed., 210). </w:t>
      </w:r>
    </w:p>
  </w:footnote>
  <w:footnote w:id="182">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lang w:val="fr-FR"/>
        </w:rPr>
        <w:t xml:space="preserve"> </w:t>
      </w:r>
      <w:proofErr w:type="spellStart"/>
      <w:r w:rsidRPr="00F02A12">
        <w:rPr>
          <w:i/>
          <w:sz w:val="20"/>
          <w:szCs w:val="20"/>
          <w:lang w:val="fr-FR"/>
        </w:rPr>
        <w:t>See</w:t>
      </w:r>
      <w:proofErr w:type="spellEnd"/>
      <w:r w:rsidRPr="00F02A12">
        <w:rPr>
          <w:i/>
          <w:sz w:val="20"/>
          <w:szCs w:val="20"/>
          <w:lang w:val="fr-FR"/>
        </w:rPr>
        <w:t xml:space="preserve"> </w:t>
      </w:r>
      <w:r w:rsidRPr="00F02A12">
        <w:rPr>
          <w:sz w:val="20"/>
          <w:szCs w:val="20"/>
          <w:lang w:val="fr-FR"/>
        </w:rPr>
        <w:t xml:space="preserve">TJMG, AC 1.0000.00.199781-6/000 (1), Rel. Des. Garcia </w:t>
      </w:r>
      <w:proofErr w:type="spellStart"/>
      <w:r w:rsidRPr="00F02A12">
        <w:rPr>
          <w:sz w:val="20"/>
          <w:szCs w:val="20"/>
          <w:lang w:val="fr-FR"/>
        </w:rPr>
        <w:t>Leão</w:t>
      </w:r>
      <w:proofErr w:type="spellEnd"/>
      <w:r w:rsidRPr="00F02A12">
        <w:rPr>
          <w:sz w:val="20"/>
          <w:szCs w:val="20"/>
          <w:lang w:val="fr-FR"/>
        </w:rPr>
        <w:t xml:space="preserve">, J. </w:t>
      </w:r>
      <w:proofErr w:type="spellStart"/>
      <w:r w:rsidRPr="00F02A12">
        <w:rPr>
          <w:sz w:val="20"/>
          <w:szCs w:val="20"/>
          <w:lang w:val="fr-FR"/>
        </w:rPr>
        <w:t>Aug</w:t>
      </w:r>
      <w:proofErr w:type="spellEnd"/>
      <w:r w:rsidRPr="00F02A12">
        <w:rPr>
          <w:sz w:val="20"/>
          <w:szCs w:val="20"/>
          <w:lang w:val="fr-FR"/>
        </w:rPr>
        <w:t xml:space="preserve">. 7, 2001, DJ Sept. 7, 2001. </w:t>
      </w:r>
      <w:r w:rsidRPr="00F02A12">
        <w:rPr>
          <w:sz w:val="20"/>
          <w:szCs w:val="20"/>
          <w:lang w:val="pt-BR"/>
        </w:rPr>
        <w:t xml:space="preserve">For </w:t>
      </w:r>
      <w:proofErr w:type="spellStart"/>
      <w:r w:rsidRPr="00F02A12">
        <w:rPr>
          <w:sz w:val="20"/>
          <w:szCs w:val="20"/>
          <w:lang w:val="pt-BR"/>
        </w:rPr>
        <w:t>an</w:t>
      </w:r>
      <w:proofErr w:type="spellEnd"/>
      <w:r w:rsidRPr="00F02A12">
        <w:rPr>
          <w:sz w:val="20"/>
          <w:szCs w:val="20"/>
          <w:lang w:val="pt-BR"/>
        </w:rPr>
        <w:t xml:space="preserve"> </w:t>
      </w:r>
      <w:proofErr w:type="spellStart"/>
      <w:r w:rsidRPr="00F02A12">
        <w:rPr>
          <w:sz w:val="20"/>
          <w:szCs w:val="20"/>
          <w:lang w:val="pt-BR"/>
        </w:rPr>
        <w:t>excellent</w:t>
      </w:r>
      <w:proofErr w:type="spellEnd"/>
      <w:r w:rsidRPr="00F02A12">
        <w:rPr>
          <w:sz w:val="20"/>
          <w:szCs w:val="20"/>
          <w:lang w:val="pt-BR"/>
        </w:rPr>
        <w:t xml:space="preserve"> </w:t>
      </w:r>
      <w:proofErr w:type="spellStart"/>
      <w:r w:rsidRPr="00F02A12">
        <w:rPr>
          <w:sz w:val="20"/>
          <w:szCs w:val="20"/>
          <w:lang w:val="pt-BR"/>
        </w:rPr>
        <w:t>exposition</w:t>
      </w:r>
      <w:proofErr w:type="spellEnd"/>
      <w:r w:rsidRPr="00F02A12">
        <w:rPr>
          <w:sz w:val="20"/>
          <w:szCs w:val="20"/>
          <w:lang w:val="pt-BR"/>
        </w:rPr>
        <w:t xml:space="preserve"> </w:t>
      </w:r>
      <w:proofErr w:type="spellStart"/>
      <w:r w:rsidRPr="00F02A12">
        <w:rPr>
          <w:sz w:val="20"/>
          <w:szCs w:val="20"/>
          <w:lang w:val="pt-BR"/>
        </w:rPr>
        <w:t>of</w:t>
      </w:r>
      <w:proofErr w:type="spellEnd"/>
      <w:r w:rsidRPr="00F02A12">
        <w:rPr>
          <w:sz w:val="20"/>
          <w:szCs w:val="20"/>
          <w:lang w:val="pt-BR"/>
        </w:rPr>
        <w:t xml:space="preserve"> </w:t>
      </w:r>
      <w:proofErr w:type="spellStart"/>
      <w:r w:rsidRPr="00F02A12">
        <w:rPr>
          <w:sz w:val="20"/>
          <w:szCs w:val="20"/>
          <w:lang w:val="pt-BR"/>
        </w:rPr>
        <w:t>this</w:t>
      </w:r>
      <w:proofErr w:type="spellEnd"/>
      <w:r w:rsidRPr="00F02A12">
        <w:rPr>
          <w:sz w:val="20"/>
          <w:szCs w:val="20"/>
          <w:lang w:val="pt-BR"/>
        </w:rPr>
        <w:t xml:space="preserve"> </w:t>
      </w:r>
      <w:proofErr w:type="spellStart"/>
      <w:r w:rsidRPr="00F02A12">
        <w:rPr>
          <w:sz w:val="20"/>
          <w:szCs w:val="20"/>
          <w:lang w:val="pt-BR"/>
        </w:rPr>
        <w:t>argument</w:t>
      </w:r>
      <w:proofErr w:type="spellEnd"/>
      <w:r w:rsidRPr="00F02A12">
        <w:rPr>
          <w:sz w:val="20"/>
          <w:szCs w:val="20"/>
          <w:lang w:val="pt-BR"/>
        </w:rPr>
        <w:t xml:space="preserve">, </w:t>
      </w:r>
      <w:proofErr w:type="spellStart"/>
      <w:r w:rsidRPr="00F02A12">
        <w:rPr>
          <w:i/>
          <w:sz w:val="20"/>
          <w:szCs w:val="20"/>
          <w:lang w:val="pt-BR"/>
        </w:rPr>
        <w:t>see</w:t>
      </w:r>
      <w:proofErr w:type="spellEnd"/>
      <w:r w:rsidRPr="00F02A12">
        <w:rPr>
          <w:i/>
          <w:sz w:val="20"/>
          <w:szCs w:val="20"/>
          <w:lang w:val="pt-BR"/>
        </w:rPr>
        <w:t xml:space="preserve"> </w:t>
      </w:r>
      <w:r w:rsidRPr="00F02A12">
        <w:rPr>
          <w:sz w:val="20"/>
          <w:szCs w:val="20"/>
          <w:lang w:val="pt-BR"/>
        </w:rPr>
        <w:t xml:space="preserve">Fábio Konder </w:t>
      </w:r>
      <w:proofErr w:type="spellStart"/>
      <w:r w:rsidRPr="00F02A12">
        <w:rPr>
          <w:sz w:val="20"/>
          <w:szCs w:val="20"/>
          <w:lang w:val="pt-BR"/>
        </w:rPr>
        <w:t>Comparato</w:t>
      </w:r>
      <w:proofErr w:type="spellEnd"/>
      <w:r w:rsidRPr="00F02A12">
        <w:rPr>
          <w:sz w:val="20"/>
          <w:szCs w:val="20"/>
          <w:lang w:val="pt-BR"/>
        </w:rPr>
        <w:t xml:space="preserve">, </w:t>
      </w:r>
      <w:r w:rsidRPr="00F02A12">
        <w:rPr>
          <w:i/>
          <w:sz w:val="20"/>
          <w:szCs w:val="20"/>
          <w:lang w:val="pt-BR"/>
        </w:rPr>
        <w:t>Sociedade de Economia Mista Transformada em Sociedade Anônima Ordinária – Inconstitucionalidade</w:t>
      </w:r>
      <w:r w:rsidRPr="00F02A12">
        <w:rPr>
          <w:sz w:val="20"/>
          <w:szCs w:val="20"/>
          <w:lang w:val="pt-BR"/>
        </w:rPr>
        <w:t xml:space="preserve">, 25 </w:t>
      </w:r>
      <w:r w:rsidRPr="00F02A12">
        <w:rPr>
          <w:smallCaps/>
          <w:sz w:val="20"/>
          <w:szCs w:val="20"/>
          <w:lang w:val="pt-BR"/>
        </w:rPr>
        <w:t>Revista Trimestral de Direito Público</w:t>
      </w:r>
      <w:r w:rsidRPr="00F02A12">
        <w:rPr>
          <w:sz w:val="20"/>
          <w:szCs w:val="20"/>
          <w:lang w:val="pt-BR"/>
        </w:rPr>
        <w:t xml:space="preserve"> 63 (1999).  </w:t>
      </w:r>
    </w:p>
  </w:footnote>
  <w:footnote w:id="18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See</w:t>
      </w:r>
      <w:r w:rsidRPr="00F02A12">
        <w:rPr>
          <w:sz w:val="20"/>
          <w:szCs w:val="20"/>
        </w:rPr>
        <w:t xml:space="preserve">, </w:t>
      </w:r>
      <w:r w:rsidRPr="00F02A12">
        <w:rPr>
          <w:i/>
          <w:sz w:val="20"/>
          <w:szCs w:val="20"/>
        </w:rPr>
        <w:t>e.g.</w:t>
      </w:r>
      <w:r w:rsidRPr="00F02A12">
        <w:rPr>
          <w:sz w:val="20"/>
          <w:szCs w:val="20"/>
        </w:rPr>
        <w:t xml:space="preserve">, TST, AIRR - 7300-66.1994.5.01.0035, 4ª </w:t>
      </w:r>
      <w:proofErr w:type="spellStart"/>
      <w:r w:rsidRPr="00F02A12">
        <w:rPr>
          <w:sz w:val="20"/>
          <w:szCs w:val="20"/>
        </w:rPr>
        <w:t>Turma</w:t>
      </w:r>
      <w:proofErr w:type="spellEnd"/>
      <w:r w:rsidRPr="00F02A12">
        <w:rPr>
          <w:sz w:val="20"/>
          <w:szCs w:val="20"/>
        </w:rPr>
        <w:t xml:space="preserve">, Rel. </w:t>
      </w:r>
      <w:r w:rsidRPr="00F02A12">
        <w:rPr>
          <w:sz w:val="20"/>
          <w:szCs w:val="20"/>
          <w:lang w:val="pt-BR"/>
        </w:rPr>
        <w:t xml:space="preserve">Min. João </w:t>
      </w:r>
      <w:proofErr w:type="spellStart"/>
      <w:r w:rsidRPr="00F02A12">
        <w:rPr>
          <w:sz w:val="20"/>
          <w:szCs w:val="20"/>
          <w:lang w:val="pt-BR"/>
        </w:rPr>
        <w:t>Oreste</w:t>
      </w:r>
      <w:proofErr w:type="spellEnd"/>
      <w:r w:rsidRPr="00F02A12">
        <w:rPr>
          <w:sz w:val="20"/>
          <w:szCs w:val="20"/>
          <w:lang w:val="pt-BR"/>
        </w:rPr>
        <w:t xml:space="preserve"> </w:t>
      </w:r>
      <w:proofErr w:type="spellStart"/>
      <w:r w:rsidRPr="00F02A12">
        <w:rPr>
          <w:sz w:val="20"/>
          <w:szCs w:val="20"/>
          <w:lang w:val="pt-BR"/>
        </w:rPr>
        <w:t>Dalazen</w:t>
      </w:r>
      <w:proofErr w:type="spellEnd"/>
      <w:r w:rsidRPr="00F02A12">
        <w:rPr>
          <w:sz w:val="20"/>
          <w:szCs w:val="20"/>
          <w:lang w:val="pt-BR"/>
        </w:rPr>
        <w:t xml:space="preserve">, J. </w:t>
      </w:r>
      <w:proofErr w:type="spellStart"/>
      <w:r w:rsidRPr="00F02A12">
        <w:rPr>
          <w:sz w:val="20"/>
          <w:szCs w:val="20"/>
          <w:lang w:val="pt-BR"/>
        </w:rPr>
        <w:t>Aug</w:t>
      </w:r>
      <w:proofErr w:type="spellEnd"/>
      <w:r w:rsidRPr="00F02A12">
        <w:rPr>
          <w:sz w:val="20"/>
          <w:szCs w:val="20"/>
          <w:lang w:val="pt-BR"/>
        </w:rPr>
        <w:t xml:space="preserve">. 13, 2014; TST, AIRR - 96000-30.2009.5.03.0037, 8ª Turma, Rel. Des. </w:t>
      </w:r>
      <w:r w:rsidRPr="00F02A12">
        <w:rPr>
          <w:sz w:val="20"/>
          <w:szCs w:val="20"/>
        </w:rPr>
        <w:t xml:space="preserve">Jane </w:t>
      </w:r>
      <w:proofErr w:type="spellStart"/>
      <w:r w:rsidRPr="00F02A12">
        <w:rPr>
          <w:sz w:val="20"/>
          <w:szCs w:val="20"/>
        </w:rPr>
        <w:t>Granzoto</w:t>
      </w:r>
      <w:proofErr w:type="spellEnd"/>
      <w:r w:rsidRPr="00F02A12">
        <w:rPr>
          <w:sz w:val="20"/>
          <w:szCs w:val="20"/>
        </w:rPr>
        <w:t xml:space="preserve"> Torres da Silva, J. Apr. 8, 2015.</w:t>
      </w:r>
    </w:p>
  </w:footnote>
  <w:footnote w:id="184">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rPr>
        <w:t xml:space="preserve"> </w:t>
      </w:r>
      <w:r w:rsidRPr="00F02A12">
        <w:rPr>
          <w:i/>
          <w:sz w:val="20"/>
          <w:szCs w:val="20"/>
        </w:rPr>
        <w:t xml:space="preserve">Id. </w:t>
      </w:r>
      <w:proofErr w:type="spellStart"/>
      <w:r w:rsidRPr="00F02A12">
        <w:rPr>
          <w:sz w:val="20"/>
          <w:szCs w:val="20"/>
        </w:rPr>
        <w:t>Código</w:t>
      </w:r>
      <w:proofErr w:type="spellEnd"/>
      <w:r w:rsidRPr="00F02A12">
        <w:rPr>
          <w:sz w:val="20"/>
          <w:szCs w:val="20"/>
        </w:rPr>
        <w:t xml:space="preserve"> Civil, Art. </w:t>
      </w:r>
      <w:proofErr w:type="gramStart"/>
      <w:r w:rsidRPr="00F02A12">
        <w:rPr>
          <w:sz w:val="20"/>
          <w:szCs w:val="20"/>
        </w:rPr>
        <w:t>1.003</w:t>
      </w:r>
      <w:proofErr w:type="gramEnd"/>
      <w:r w:rsidRPr="00F02A12">
        <w:rPr>
          <w:sz w:val="20"/>
          <w:szCs w:val="20"/>
        </w:rPr>
        <w:t xml:space="preserve">, sole paragraph (“For up to two years after the registration of the change to the agreement, the transferring partner is jointly and severally liable together with the transferee, to the partnership and third-parties, for the obligations it had as partner”). For relevant precedents, </w:t>
      </w:r>
      <w:r w:rsidRPr="00F02A12">
        <w:rPr>
          <w:i/>
          <w:sz w:val="20"/>
          <w:szCs w:val="20"/>
        </w:rPr>
        <w:t xml:space="preserve">see </w:t>
      </w:r>
      <w:r w:rsidRPr="00F02A12">
        <w:rPr>
          <w:sz w:val="20"/>
          <w:szCs w:val="20"/>
        </w:rPr>
        <w:t xml:space="preserve">TST, AIRR - 7300-66.1994.5.01.0035, 4ª </w:t>
      </w:r>
      <w:proofErr w:type="spellStart"/>
      <w:r w:rsidRPr="00F02A12">
        <w:rPr>
          <w:sz w:val="20"/>
          <w:szCs w:val="20"/>
        </w:rPr>
        <w:t>Turma</w:t>
      </w:r>
      <w:proofErr w:type="spellEnd"/>
      <w:r w:rsidRPr="00F02A12">
        <w:rPr>
          <w:sz w:val="20"/>
          <w:szCs w:val="20"/>
        </w:rPr>
        <w:t xml:space="preserve">, Rel. Min. </w:t>
      </w:r>
      <w:proofErr w:type="spellStart"/>
      <w:r w:rsidRPr="00F02A12">
        <w:rPr>
          <w:sz w:val="20"/>
          <w:szCs w:val="20"/>
        </w:rPr>
        <w:t>João</w:t>
      </w:r>
      <w:proofErr w:type="spellEnd"/>
      <w:r w:rsidRPr="00F02A12">
        <w:rPr>
          <w:sz w:val="20"/>
          <w:szCs w:val="20"/>
        </w:rPr>
        <w:t xml:space="preserve"> </w:t>
      </w:r>
      <w:proofErr w:type="spellStart"/>
      <w:r w:rsidRPr="00F02A12">
        <w:rPr>
          <w:sz w:val="20"/>
          <w:szCs w:val="20"/>
        </w:rPr>
        <w:t>Oreste</w:t>
      </w:r>
      <w:proofErr w:type="spellEnd"/>
      <w:r w:rsidRPr="00F02A12">
        <w:rPr>
          <w:sz w:val="20"/>
          <w:szCs w:val="20"/>
        </w:rPr>
        <w:t xml:space="preserve"> </w:t>
      </w:r>
      <w:proofErr w:type="spellStart"/>
      <w:r w:rsidRPr="00F02A12">
        <w:rPr>
          <w:sz w:val="20"/>
          <w:szCs w:val="20"/>
        </w:rPr>
        <w:t>Dalazen</w:t>
      </w:r>
      <w:proofErr w:type="spellEnd"/>
      <w:r w:rsidRPr="00F02A12">
        <w:rPr>
          <w:sz w:val="20"/>
          <w:szCs w:val="20"/>
        </w:rPr>
        <w:t xml:space="preserve">, J. Aug. 13, 2014; TST, AIRR - 96000-30.2009.5.03.0037, 8ª </w:t>
      </w:r>
      <w:proofErr w:type="spellStart"/>
      <w:r w:rsidRPr="00F02A12">
        <w:rPr>
          <w:sz w:val="20"/>
          <w:szCs w:val="20"/>
        </w:rPr>
        <w:t>Turma</w:t>
      </w:r>
      <w:proofErr w:type="spellEnd"/>
      <w:r w:rsidRPr="00F02A12">
        <w:rPr>
          <w:sz w:val="20"/>
          <w:szCs w:val="20"/>
        </w:rPr>
        <w:t xml:space="preserve">, Rel. Des. </w:t>
      </w:r>
      <w:r w:rsidRPr="00F02A12">
        <w:rPr>
          <w:sz w:val="20"/>
          <w:szCs w:val="20"/>
          <w:lang w:val="pt-BR"/>
        </w:rPr>
        <w:t xml:space="preserve">Jane </w:t>
      </w:r>
      <w:proofErr w:type="spellStart"/>
      <w:r w:rsidRPr="00F02A12">
        <w:rPr>
          <w:sz w:val="20"/>
          <w:szCs w:val="20"/>
          <w:lang w:val="pt-BR"/>
        </w:rPr>
        <w:t>Granzoto</w:t>
      </w:r>
      <w:proofErr w:type="spellEnd"/>
      <w:r w:rsidRPr="00F02A12">
        <w:rPr>
          <w:sz w:val="20"/>
          <w:szCs w:val="20"/>
          <w:lang w:val="pt-BR"/>
        </w:rPr>
        <w:t xml:space="preserve"> Torres da Silva, J. </w:t>
      </w:r>
      <w:proofErr w:type="spellStart"/>
      <w:r w:rsidRPr="00F02A12">
        <w:rPr>
          <w:sz w:val="20"/>
          <w:szCs w:val="20"/>
          <w:lang w:val="pt-BR"/>
        </w:rPr>
        <w:t>Apr</w:t>
      </w:r>
      <w:proofErr w:type="spellEnd"/>
      <w:r w:rsidRPr="00F02A12">
        <w:rPr>
          <w:sz w:val="20"/>
          <w:szCs w:val="20"/>
          <w:lang w:val="pt-BR"/>
        </w:rPr>
        <w:t>. 8, 2015.</w:t>
      </w:r>
    </w:p>
  </w:footnote>
  <w:footnote w:id="185">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lang w:val="pt-BR"/>
        </w:rPr>
        <w:t xml:space="preserve"> TST, AIRR-1365-56.2011.5.02.0444, 1ª Turma, Rel. Min. </w:t>
      </w:r>
      <w:proofErr w:type="spellStart"/>
      <w:r w:rsidRPr="00F02A12">
        <w:rPr>
          <w:sz w:val="20"/>
          <w:szCs w:val="20"/>
          <w:lang w:val="pt-BR"/>
        </w:rPr>
        <w:t>Lelio</w:t>
      </w:r>
      <w:proofErr w:type="spellEnd"/>
      <w:r w:rsidRPr="00F02A12">
        <w:rPr>
          <w:sz w:val="20"/>
          <w:szCs w:val="20"/>
          <w:lang w:val="pt-BR"/>
        </w:rPr>
        <w:t xml:space="preserve"> Bentes Corrêa, J. </w:t>
      </w:r>
      <w:proofErr w:type="spellStart"/>
      <w:r w:rsidRPr="00F02A12">
        <w:rPr>
          <w:sz w:val="20"/>
          <w:szCs w:val="20"/>
          <w:lang w:val="pt-BR"/>
        </w:rPr>
        <w:t>Aug</w:t>
      </w:r>
      <w:proofErr w:type="spellEnd"/>
      <w:r w:rsidRPr="00F02A12">
        <w:rPr>
          <w:sz w:val="20"/>
          <w:szCs w:val="20"/>
          <w:lang w:val="pt-BR"/>
        </w:rPr>
        <w:t xml:space="preserve">. 21, 2013. </w:t>
      </w:r>
    </w:p>
  </w:footnote>
  <w:footnote w:id="18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See </w:t>
      </w:r>
      <w:r w:rsidRPr="00F02A12">
        <w:rPr>
          <w:sz w:val="20"/>
          <w:szCs w:val="20"/>
        </w:rPr>
        <w:t xml:space="preserve">note </w:t>
      </w:r>
      <w:r w:rsidRPr="00F02A12">
        <w:rPr>
          <w:sz w:val="20"/>
          <w:szCs w:val="20"/>
        </w:rPr>
        <w:fldChar w:fldCharType="begin"/>
      </w:r>
      <w:r w:rsidRPr="00F02A12">
        <w:rPr>
          <w:sz w:val="20"/>
          <w:szCs w:val="20"/>
        </w:rPr>
        <w:instrText xml:space="preserve"> NOTEREF _Ref455138064 \h  \* MERGEFORMAT </w:instrText>
      </w:r>
      <w:r w:rsidRPr="00F02A12">
        <w:rPr>
          <w:sz w:val="20"/>
          <w:szCs w:val="20"/>
        </w:rPr>
      </w:r>
      <w:r w:rsidRPr="00F02A12">
        <w:rPr>
          <w:sz w:val="20"/>
          <w:szCs w:val="20"/>
        </w:rPr>
        <w:fldChar w:fldCharType="separate"/>
      </w:r>
      <w:r>
        <w:rPr>
          <w:sz w:val="20"/>
          <w:szCs w:val="20"/>
        </w:rPr>
        <w:t>184</w:t>
      </w:r>
      <w:r w:rsidRPr="00F02A12">
        <w:rPr>
          <w:sz w:val="20"/>
          <w:szCs w:val="20"/>
        </w:rPr>
        <w:fldChar w:fldCharType="end"/>
      </w:r>
      <w:r w:rsidRPr="00F02A12">
        <w:rPr>
          <w:sz w:val="20"/>
          <w:szCs w:val="20"/>
        </w:rPr>
        <w:t xml:space="preserve"> and accompanying text. </w:t>
      </w:r>
    </w:p>
  </w:footnote>
  <w:footnote w:id="18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For an example of the latter, more rigorous approach, </w:t>
      </w:r>
      <w:r w:rsidRPr="00F02A12">
        <w:rPr>
          <w:i/>
          <w:sz w:val="20"/>
          <w:szCs w:val="20"/>
        </w:rPr>
        <w:t xml:space="preserve">see </w:t>
      </w:r>
      <w:r w:rsidRPr="00F02A12">
        <w:rPr>
          <w:sz w:val="20"/>
          <w:szCs w:val="20"/>
        </w:rPr>
        <w:t xml:space="preserve">STJ, RESP 1.180.714-RJ, </w:t>
      </w:r>
      <w:proofErr w:type="spellStart"/>
      <w:r w:rsidRPr="00F02A12">
        <w:rPr>
          <w:sz w:val="20"/>
          <w:szCs w:val="20"/>
        </w:rPr>
        <w:t>Quarta</w:t>
      </w:r>
      <w:proofErr w:type="spellEnd"/>
      <w:r w:rsidRPr="00F02A12">
        <w:rPr>
          <w:sz w:val="20"/>
          <w:szCs w:val="20"/>
        </w:rPr>
        <w:t xml:space="preserve"> </w:t>
      </w:r>
      <w:proofErr w:type="spellStart"/>
      <w:r w:rsidRPr="00F02A12">
        <w:rPr>
          <w:sz w:val="20"/>
          <w:szCs w:val="20"/>
        </w:rPr>
        <w:t>Turma</w:t>
      </w:r>
      <w:proofErr w:type="spellEnd"/>
      <w:r w:rsidRPr="00F02A12">
        <w:rPr>
          <w:sz w:val="20"/>
          <w:szCs w:val="20"/>
        </w:rPr>
        <w:t xml:space="preserve">. Rel. Min. </w:t>
      </w:r>
      <w:proofErr w:type="spellStart"/>
      <w:r w:rsidRPr="00F02A12">
        <w:rPr>
          <w:sz w:val="20"/>
          <w:szCs w:val="20"/>
        </w:rPr>
        <w:t>Luís</w:t>
      </w:r>
      <w:proofErr w:type="spellEnd"/>
      <w:r w:rsidRPr="00F02A12">
        <w:rPr>
          <w:sz w:val="20"/>
          <w:szCs w:val="20"/>
        </w:rPr>
        <w:t xml:space="preserve"> Felipe </w:t>
      </w:r>
      <w:proofErr w:type="spellStart"/>
      <w:r w:rsidRPr="00F02A12">
        <w:rPr>
          <w:sz w:val="20"/>
          <w:szCs w:val="20"/>
        </w:rPr>
        <w:t>Salomão</w:t>
      </w:r>
      <w:proofErr w:type="spellEnd"/>
      <w:r w:rsidRPr="00F02A12">
        <w:rPr>
          <w:sz w:val="20"/>
          <w:szCs w:val="20"/>
        </w:rPr>
        <w:t xml:space="preserve">. D.J. Apr. 5, 2011. In this case, however, there was evidence of fraud.  </w:t>
      </w:r>
    </w:p>
  </w:footnote>
  <w:footnote w:id="18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On the challenges to contract enforcement in Brazil, </w:t>
      </w:r>
      <w:r w:rsidRPr="00F02A12">
        <w:rPr>
          <w:i/>
          <w:sz w:val="20"/>
          <w:szCs w:val="20"/>
        </w:rPr>
        <w:t xml:space="preserve">see </w:t>
      </w:r>
      <w:r w:rsidRPr="00F02A12">
        <w:rPr>
          <w:sz w:val="20"/>
          <w:szCs w:val="20"/>
        </w:rPr>
        <w:t xml:space="preserve">notes </w:t>
      </w:r>
      <w:r w:rsidRPr="00F02A12">
        <w:rPr>
          <w:sz w:val="20"/>
          <w:szCs w:val="20"/>
        </w:rPr>
        <w:fldChar w:fldCharType="begin"/>
      </w:r>
      <w:r w:rsidRPr="00F02A12">
        <w:rPr>
          <w:sz w:val="20"/>
          <w:szCs w:val="20"/>
        </w:rPr>
        <w:instrText xml:space="preserve"> NOTEREF _Ref455603398 \h  \* MERGEFORMAT </w:instrText>
      </w:r>
      <w:r w:rsidRPr="00F02A12">
        <w:rPr>
          <w:sz w:val="20"/>
          <w:szCs w:val="20"/>
        </w:rPr>
      </w:r>
      <w:r w:rsidRPr="00F02A12">
        <w:rPr>
          <w:sz w:val="20"/>
          <w:szCs w:val="20"/>
        </w:rPr>
        <w:fldChar w:fldCharType="separate"/>
      </w:r>
      <w:r>
        <w:rPr>
          <w:sz w:val="20"/>
          <w:szCs w:val="20"/>
        </w:rPr>
        <w:t>220</w:t>
      </w:r>
      <w:r w:rsidRPr="00F02A12">
        <w:rPr>
          <w:sz w:val="20"/>
          <w:szCs w:val="20"/>
        </w:rPr>
        <w:fldChar w:fldCharType="end"/>
      </w:r>
      <w:r w:rsidRPr="00F02A12">
        <w:rPr>
          <w:sz w:val="20"/>
          <w:szCs w:val="20"/>
        </w:rPr>
        <w:t>-</w:t>
      </w:r>
      <w:r w:rsidRPr="00F02A12">
        <w:rPr>
          <w:sz w:val="20"/>
          <w:szCs w:val="20"/>
        </w:rPr>
        <w:fldChar w:fldCharType="begin"/>
      </w:r>
      <w:r w:rsidRPr="00F02A12">
        <w:rPr>
          <w:sz w:val="20"/>
          <w:szCs w:val="20"/>
        </w:rPr>
        <w:instrText xml:space="preserve"> NOTEREF _Ref455603406 \h  \* MERGEFORMAT </w:instrText>
      </w:r>
      <w:r w:rsidRPr="00F02A12">
        <w:rPr>
          <w:sz w:val="20"/>
          <w:szCs w:val="20"/>
        </w:rPr>
      </w:r>
      <w:r w:rsidRPr="00F02A12">
        <w:rPr>
          <w:sz w:val="20"/>
          <w:szCs w:val="20"/>
        </w:rPr>
        <w:fldChar w:fldCharType="separate"/>
      </w:r>
      <w:r>
        <w:rPr>
          <w:sz w:val="20"/>
          <w:szCs w:val="20"/>
        </w:rPr>
        <w:t>221</w:t>
      </w:r>
      <w:r w:rsidRPr="00F02A12">
        <w:rPr>
          <w:sz w:val="20"/>
          <w:szCs w:val="20"/>
        </w:rPr>
        <w:fldChar w:fldCharType="end"/>
      </w:r>
      <w:r w:rsidRPr="00F02A12">
        <w:rPr>
          <w:sz w:val="20"/>
          <w:szCs w:val="20"/>
        </w:rPr>
        <w:t xml:space="preserve"> and accompanying text. </w:t>
      </w:r>
    </w:p>
  </w:footnote>
  <w:footnote w:id="189">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w:t>
      </w:r>
      <w:r w:rsidRPr="00F02A12">
        <w:rPr>
          <w:rFonts w:cs="Times New Roman"/>
          <w:i/>
          <w:sz w:val="20"/>
          <w:szCs w:val="20"/>
        </w:rPr>
        <w:t xml:space="preserve">See </w:t>
      </w:r>
      <w:r w:rsidRPr="00F02A12">
        <w:rPr>
          <w:sz w:val="20"/>
          <w:szCs w:val="20"/>
        </w:rPr>
        <w:t xml:space="preserve">Henry </w:t>
      </w:r>
      <w:proofErr w:type="spellStart"/>
      <w:r w:rsidRPr="00F02A12">
        <w:rPr>
          <w:sz w:val="20"/>
          <w:szCs w:val="20"/>
        </w:rPr>
        <w:t>Hansmann</w:t>
      </w:r>
      <w:proofErr w:type="spellEnd"/>
      <w:r w:rsidRPr="00F02A12">
        <w:rPr>
          <w:sz w:val="20"/>
          <w:szCs w:val="20"/>
        </w:rPr>
        <w:t xml:space="preserve"> &amp; Mariana Pargendler, </w:t>
      </w:r>
      <w:proofErr w:type="gramStart"/>
      <w:r w:rsidRPr="00F02A12">
        <w:rPr>
          <w:i/>
          <w:sz w:val="20"/>
          <w:szCs w:val="20"/>
        </w:rPr>
        <w:t>The</w:t>
      </w:r>
      <w:proofErr w:type="gramEnd"/>
      <w:r w:rsidRPr="00F02A12">
        <w:rPr>
          <w:i/>
          <w:sz w:val="20"/>
          <w:szCs w:val="20"/>
        </w:rPr>
        <w:t xml:space="preserve"> Evolution of Shareholder Voting Rights: Separation of Ownership and Consumption, </w:t>
      </w:r>
      <w:r w:rsidRPr="00F02A12">
        <w:rPr>
          <w:smallCaps/>
          <w:sz w:val="20"/>
          <w:szCs w:val="20"/>
        </w:rPr>
        <w:t>123 Yale. L. J.</w:t>
      </w:r>
      <w:r w:rsidRPr="00F02A12">
        <w:rPr>
          <w:sz w:val="20"/>
          <w:szCs w:val="20"/>
        </w:rPr>
        <w:t xml:space="preserve"> 101 (2014).</w:t>
      </w:r>
    </w:p>
  </w:footnote>
  <w:footnote w:id="190">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lang w:val="pt-BR"/>
        </w:rPr>
        <w:t xml:space="preserve"> BM&amp;FBOVESPA, </w:t>
      </w:r>
      <w:r w:rsidRPr="00F02A12">
        <w:rPr>
          <w:smallCaps/>
          <w:sz w:val="20"/>
          <w:szCs w:val="20"/>
          <w:lang w:val="pt-BR"/>
        </w:rPr>
        <w:t xml:space="preserve">SOE </w:t>
      </w:r>
      <w:proofErr w:type="spellStart"/>
      <w:r w:rsidRPr="00F02A12">
        <w:rPr>
          <w:smallCaps/>
          <w:sz w:val="20"/>
          <w:szCs w:val="20"/>
          <w:lang w:val="pt-BR"/>
        </w:rPr>
        <w:t>Governance</w:t>
      </w:r>
      <w:proofErr w:type="spellEnd"/>
      <w:r w:rsidRPr="00F02A12">
        <w:rPr>
          <w:smallCaps/>
          <w:sz w:val="20"/>
          <w:szCs w:val="20"/>
          <w:lang w:val="pt-BR"/>
        </w:rPr>
        <w:t xml:space="preserve"> </w:t>
      </w:r>
      <w:proofErr w:type="spellStart"/>
      <w:r w:rsidRPr="00F02A12">
        <w:rPr>
          <w:smallCaps/>
          <w:sz w:val="20"/>
          <w:szCs w:val="20"/>
          <w:lang w:val="pt-BR"/>
        </w:rPr>
        <w:t>Program</w:t>
      </w:r>
      <w:proofErr w:type="spellEnd"/>
      <w:r w:rsidRPr="00F02A12">
        <w:rPr>
          <w:sz w:val="20"/>
          <w:szCs w:val="20"/>
          <w:lang w:val="pt-BR"/>
        </w:rPr>
        <w:t xml:space="preserve"> 3 (2015), </w:t>
      </w:r>
      <w:hyperlink r:id="rId10" w:history="1">
        <w:r w:rsidRPr="00F02A12">
          <w:rPr>
            <w:rStyle w:val="Hyperlink"/>
            <w:sz w:val="20"/>
            <w:szCs w:val="20"/>
            <w:lang w:val="pt-BR"/>
          </w:rPr>
          <w:t>http://www.bmfbovespa.com.br/lumis/portal/file/fileDownload.jsp?fileId=8A828D295048C0EF0150CE2C3F077741</w:t>
        </w:r>
      </w:hyperlink>
      <w:r w:rsidRPr="00F02A12">
        <w:rPr>
          <w:sz w:val="20"/>
          <w:szCs w:val="20"/>
          <w:lang w:val="pt-BR"/>
        </w:rPr>
        <w:t xml:space="preserve">. </w:t>
      </w:r>
    </w:p>
  </w:footnote>
  <w:footnote w:id="19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Id. </w:t>
      </w:r>
      <w:r w:rsidRPr="00F02A12">
        <w:rPr>
          <w:sz w:val="20"/>
          <w:szCs w:val="20"/>
        </w:rPr>
        <w:t>at 385.</w:t>
      </w:r>
    </w:p>
  </w:footnote>
  <w:footnote w:id="192">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rFonts w:cs="Times New Roman"/>
          <w:sz w:val="20"/>
          <w:szCs w:val="20"/>
        </w:rPr>
        <w:t xml:space="preserve">Mariana Pargendler, </w:t>
      </w:r>
      <w:r w:rsidRPr="00F02A12">
        <w:rPr>
          <w:rFonts w:cs="Times New Roman"/>
          <w:i/>
          <w:sz w:val="20"/>
          <w:szCs w:val="20"/>
        </w:rPr>
        <w:t>Governing State Capitalism: The Case of Brazil</w:t>
      </w:r>
      <w:r w:rsidRPr="00F02A12">
        <w:rPr>
          <w:rFonts w:cs="Times New Roman"/>
          <w:sz w:val="20"/>
          <w:szCs w:val="20"/>
        </w:rPr>
        <w:t xml:space="preserve">, </w:t>
      </w:r>
      <w:r w:rsidRPr="00F02A12">
        <w:rPr>
          <w:rFonts w:cs="Times New Roman"/>
          <w:i/>
          <w:sz w:val="20"/>
          <w:szCs w:val="20"/>
        </w:rPr>
        <w:t xml:space="preserve">in </w:t>
      </w:r>
      <w:r w:rsidRPr="00F02A12">
        <w:rPr>
          <w:rFonts w:cs="Times New Roman"/>
          <w:smallCaps/>
          <w:sz w:val="20"/>
          <w:szCs w:val="20"/>
        </w:rPr>
        <w:t>Regulating the Visible Hand</w:t>
      </w:r>
      <w:r w:rsidRPr="00F02A12">
        <w:rPr>
          <w:rFonts w:cs="Times New Roman"/>
          <w:sz w:val="20"/>
          <w:szCs w:val="20"/>
        </w:rPr>
        <w:t xml:space="preserve"> 386 (Benjamin H. </w:t>
      </w:r>
      <w:proofErr w:type="spellStart"/>
      <w:r w:rsidRPr="00F02A12">
        <w:rPr>
          <w:rFonts w:cs="Times New Roman"/>
          <w:sz w:val="20"/>
          <w:szCs w:val="20"/>
        </w:rPr>
        <w:t>Liebman</w:t>
      </w:r>
      <w:proofErr w:type="spellEnd"/>
      <w:r w:rsidRPr="00F02A12">
        <w:rPr>
          <w:rFonts w:cs="Times New Roman"/>
          <w:sz w:val="20"/>
          <w:szCs w:val="20"/>
        </w:rPr>
        <w:t xml:space="preserve"> &amp; Curtis J. </w:t>
      </w:r>
      <w:proofErr w:type="spellStart"/>
      <w:r w:rsidRPr="00F02A12">
        <w:rPr>
          <w:rFonts w:cs="Times New Roman"/>
          <w:sz w:val="20"/>
          <w:szCs w:val="20"/>
        </w:rPr>
        <w:t>Milhaupt</w:t>
      </w:r>
      <w:proofErr w:type="spellEnd"/>
      <w:r w:rsidRPr="00F02A12">
        <w:rPr>
          <w:rFonts w:cs="Times New Roman"/>
          <w:sz w:val="20"/>
          <w:szCs w:val="20"/>
        </w:rPr>
        <w:t xml:space="preserve"> eds. 2015).</w:t>
      </w:r>
    </w:p>
  </w:footnote>
  <w:footnote w:id="193">
    <w:p w:rsidR="000373FF" w:rsidRPr="00F02A12" w:rsidRDefault="000373FF" w:rsidP="00F02A12">
      <w:pPr>
        <w:pStyle w:val="Textodenotaderodap"/>
        <w:jc w:val="both"/>
        <w:rPr>
          <w:sz w:val="20"/>
          <w:szCs w:val="20"/>
          <w:lang w:val="pt-BR"/>
        </w:rPr>
      </w:pPr>
      <w:r w:rsidRPr="00F02A12">
        <w:rPr>
          <w:rStyle w:val="Refdenotaderodap"/>
          <w:sz w:val="20"/>
          <w:szCs w:val="20"/>
        </w:rPr>
        <w:footnoteRef/>
      </w:r>
      <w:r w:rsidRPr="00F02A12">
        <w:rPr>
          <w:sz w:val="20"/>
          <w:szCs w:val="20"/>
          <w:lang w:val="pt-BR"/>
        </w:rPr>
        <w:t xml:space="preserve"> </w:t>
      </w:r>
      <w:proofErr w:type="spellStart"/>
      <w:r w:rsidRPr="00F02A12">
        <w:rPr>
          <w:i/>
          <w:sz w:val="20"/>
          <w:szCs w:val="20"/>
          <w:lang w:val="pt-BR"/>
        </w:rPr>
        <w:t>See</w:t>
      </w:r>
      <w:proofErr w:type="spellEnd"/>
      <w:r w:rsidRPr="00F02A12">
        <w:rPr>
          <w:sz w:val="20"/>
          <w:szCs w:val="20"/>
          <w:lang w:val="pt-BR"/>
        </w:rPr>
        <w:t xml:space="preserve">, </w:t>
      </w:r>
      <w:r w:rsidRPr="00F02A12">
        <w:rPr>
          <w:i/>
          <w:sz w:val="20"/>
          <w:szCs w:val="20"/>
          <w:lang w:val="pt-BR"/>
        </w:rPr>
        <w:t>e.g.</w:t>
      </w:r>
      <w:r w:rsidRPr="00F02A12">
        <w:rPr>
          <w:sz w:val="20"/>
          <w:szCs w:val="20"/>
          <w:lang w:val="pt-BR"/>
        </w:rPr>
        <w:t xml:space="preserve">, Mario Engler Pinto Jr., </w:t>
      </w:r>
      <w:r w:rsidRPr="00F02A12">
        <w:rPr>
          <w:i/>
          <w:sz w:val="20"/>
          <w:szCs w:val="20"/>
          <w:lang w:val="pt-BR"/>
        </w:rPr>
        <w:t>A Atuação Empresarial do Estado e o Papel da Empresa Estatal</w:t>
      </w:r>
      <w:r w:rsidRPr="00F02A12">
        <w:rPr>
          <w:sz w:val="20"/>
          <w:szCs w:val="20"/>
          <w:lang w:val="pt-BR"/>
        </w:rPr>
        <w:t xml:space="preserve">, 151-152 </w:t>
      </w:r>
      <w:r w:rsidRPr="00F02A12">
        <w:rPr>
          <w:smallCaps/>
          <w:sz w:val="20"/>
          <w:szCs w:val="20"/>
          <w:lang w:val="pt-BR"/>
        </w:rPr>
        <w:t>Revista de Direito Mercantil</w:t>
      </w:r>
      <w:r w:rsidRPr="00F02A12">
        <w:rPr>
          <w:sz w:val="20"/>
          <w:szCs w:val="20"/>
          <w:lang w:val="pt-BR"/>
        </w:rPr>
        <w:t xml:space="preserve"> 256, 263 (2009). </w:t>
      </w:r>
    </w:p>
  </w:footnote>
  <w:footnote w:id="194">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Mariana Pargendler, </w:t>
      </w:r>
      <w:r w:rsidRPr="00F02A12">
        <w:rPr>
          <w:rFonts w:cs="Times New Roman"/>
          <w:i/>
          <w:sz w:val="20"/>
          <w:szCs w:val="20"/>
        </w:rPr>
        <w:t>Governing State Capitalism: The Case of Brazil</w:t>
      </w:r>
      <w:r w:rsidRPr="00F02A12">
        <w:rPr>
          <w:rFonts w:cs="Times New Roman"/>
          <w:sz w:val="20"/>
          <w:szCs w:val="20"/>
        </w:rPr>
        <w:t xml:space="preserve">, </w:t>
      </w:r>
      <w:r w:rsidRPr="00F02A12">
        <w:rPr>
          <w:rFonts w:cs="Times New Roman"/>
          <w:i/>
          <w:sz w:val="20"/>
          <w:szCs w:val="20"/>
        </w:rPr>
        <w:t xml:space="preserve">in </w:t>
      </w:r>
      <w:r w:rsidRPr="00F02A12">
        <w:rPr>
          <w:rFonts w:cs="Times New Roman"/>
          <w:smallCaps/>
          <w:sz w:val="20"/>
          <w:szCs w:val="20"/>
        </w:rPr>
        <w:t>Regulating the Visible Hand</w:t>
      </w:r>
      <w:r w:rsidRPr="00F02A12">
        <w:rPr>
          <w:rFonts w:cs="Times New Roman"/>
          <w:sz w:val="20"/>
          <w:szCs w:val="20"/>
        </w:rPr>
        <w:t xml:space="preserve"> 386 (Benjamin H. </w:t>
      </w:r>
      <w:proofErr w:type="spellStart"/>
      <w:r w:rsidRPr="00F02A12">
        <w:rPr>
          <w:rFonts w:cs="Times New Roman"/>
          <w:sz w:val="20"/>
          <w:szCs w:val="20"/>
        </w:rPr>
        <w:t>Liebman</w:t>
      </w:r>
      <w:proofErr w:type="spellEnd"/>
      <w:r w:rsidRPr="00F02A12">
        <w:rPr>
          <w:rFonts w:cs="Times New Roman"/>
          <w:sz w:val="20"/>
          <w:szCs w:val="20"/>
        </w:rPr>
        <w:t xml:space="preserve"> &amp; Curtis J. </w:t>
      </w:r>
      <w:proofErr w:type="spellStart"/>
      <w:r w:rsidRPr="00F02A12">
        <w:rPr>
          <w:rFonts w:cs="Times New Roman"/>
          <w:sz w:val="20"/>
          <w:szCs w:val="20"/>
        </w:rPr>
        <w:t>Milhaupt</w:t>
      </w:r>
      <w:proofErr w:type="spellEnd"/>
      <w:r w:rsidRPr="00F02A12">
        <w:rPr>
          <w:rFonts w:cs="Times New Roman"/>
          <w:sz w:val="20"/>
          <w:szCs w:val="20"/>
        </w:rPr>
        <w:t xml:space="preserve"> eds. 2015). </w:t>
      </w:r>
    </w:p>
  </w:footnote>
  <w:footnote w:id="195">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For an expanded version of this argument, </w:t>
      </w:r>
      <w:r w:rsidRPr="00F02A12">
        <w:rPr>
          <w:i/>
          <w:sz w:val="20"/>
          <w:szCs w:val="20"/>
        </w:rPr>
        <w:t xml:space="preserve">see </w:t>
      </w:r>
      <w:r w:rsidRPr="00F02A12">
        <w:rPr>
          <w:sz w:val="20"/>
          <w:szCs w:val="20"/>
        </w:rPr>
        <w:t xml:space="preserve">Mariana Pargendler, </w:t>
      </w:r>
      <w:r w:rsidRPr="00F02A12">
        <w:rPr>
          <w:i/>
          <w:sz w:val="20"/>
          <w:szCs w:val="20"/>
        </w:rPr>
        <w:t>State Ownership and Corporate Governance</w:t>
      </w:r>
      <w:r w:rsidRPr="00F02A12">
        <w:rPr>
          <w:sz w:val="20"/>
          <w:szCs w:val="20"/>
        </w:rPr>
        <w:t xml:space="preserve">, 80 </w:t>
      </w:r>
      <w:r w:rsidRPr="00F02A12">
        <w:rPr>
          <w:smallCaps/>
          <w:sz w:val="20"/>
          <w:szCs w:val="20"/>
        </w:rPr>
        <w:t>Fordham L. Rev</w:t>
      </w:r>
      <w:r w:rsidRPr="00F02A12">
        <w:rPr>
          <w:sz w:val="20"/>
          <w:szCs w:val="20"/>
        </w:rPr>
        <w:t xml:space="preserve">. 2917 (2012); Mariana Pargendler, </w:t>
      </w:r>
      <w:r w:rsidRPr="00F02A12">
        <w:rPr>
          <w:i/>
          <w:sz w:val="20"/>
          <w:szCs w:val="20"/>
        </w:rPr>
        <w:t>The Unintended Consequences of State Ownership: The Brazilian Experience</w:t>
      </w:r>
      <w:r w:rsidRPr="00F02A12">
        <w:rPr>
          <w:sz w:val="20"/>
          <w:szCs w:val="20"/>
        </w:rPr>
        <w:t xml:space="preserve">, 13 </w:t>
      </w:r>
      <w:r w:rsidRPr="00F02A12">
        <w:rPr>
          <w:smallCaps/>
          <w:sz w:val="20"/>
          <w:szCs w:val="20"/>
        </w:rPr>
        <w:t>Theoretical. Inq. L.</w:t>
      </w:r>
      <w:r w:rsidRPr="00F02A12">
        <w:rPr>
          <w:i/>
          <w:sz w:val="20"/>
          <w:szCs w:val="20"/>
        </w:rPr>
        <w:t xml:space="preserve"> </w:t>
      </w:r>
      <w:r w:rsidRPr="00F02A12">
        <w:rPr>
          <w:sz w:val="20"/>
          <w:szCs w:val="20"/>
        </w:rPr>
        <w:t>503</w:t>
      </w:r>
      <w:r w:rsidRPr="00F02A12">
        <w:rPr>
          <w:i/>
          <w:sz w:val="20"/>
          <w:szCs w:val="20"/>
        </w:rPr>
        <w:t xml:space="preserve"> </w:t>
      </w:r>
      <w:r w:rsidRPr="00F02A12">
        <w:rPr>
          <w:sz w:val="20"/>
          <w:szCs w:val="20"/>
        </w:rPr>
        <w:t>(2012).</w:t>
      </w:r>
    </w:p>
  </w:footnote>
  <w:footnote w:id="196">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Law 6,404 of 1976, Art. </w:t>
      </w:r>
      <w:proofErr w:type="gramStart"/>
      <w:r w:rsidRPr="00F02A12">
        <w:rPr>
          <w:rFonts w:cs="Times New Roman"/>
          <w:sz w:val="20"/>
          <w:szCs w:val="20"/>
        </w:rPr>
        <w:t xml:space="preserve">117, § 1º, </w:t>
      </w:r>
      <w:r w:rsidRPr="00F02A12">
        <w:rPr>
          <w:rFonts w:cs="Times New Roman"/>
          <w:i/>
          <w:sz w:val="20"/>
          <w:szCs w:val="20"/>
        </w:rPr>
        <w:t xml:space="preserve">a </w:t>
      </w:r>
      <w:r w:rsidRPr="00F02A12">
        <w:rPr>
          <w:rFonts w:cs="Times New Roman"/>
          <w:sz w:val="20"/>
          <w:szCs w:val="20"/>
        </w:rPr>
        <w:t>(qualifying as abuse of control power the action of a controlling shareholder that “guides the company towards an objective that is foreign to its corporate purpose or damaging to national interest, or that leads it to favor another company, domestic or foreign, to the detriment of minority shareholder’s participation in the profits or assets of the company, or the national economy”).</w:t>
      </w:r>
      <w:proofErr w:type="gramEnd"/>
      <w:r w:rsidRPr="00F02A12">
        <w:rPr>
          <w:rFonts w:cs="Times New Roman"/>
          <w:sz w:val="20"/>
          <w:szCs w:val="20"/>
        </w:rPr>
        <w:t xml:space="preserve"> </w:t>
      </w:r>
    </w:p>
  </w:footnote>
  <w:footnote w:id="197">
    <w:p w:rsidR="000373FF" w:rsidRPr="00F02A12" w:rsidRDefault="000373FF" w:rsidP="00F02A12">
      <w:pPr>
        <w:pStyle w:val="Textodenotaderodap"/>
        <w:jc w:val="both"/>
        <w:rPr>
          <w:rFonts w:cs="Times New Roman"/>
          <w:sz w:val="20"/>
          <w:szCs w:val="20"/>
        </w:rPr>
      </w:pPr>
      <w:r w:rsidRPr="00F02A12">
        <w:rPr>
          <w:rStyle w:val="Refdenotaderodap"/>
          <w:rFonts w:cs="Times New Roman"/>
          <w:sz w:val="20"/>
          <w:szCs w:val="20"/>
        </w:rPr>
        <w:footnoteRef/>
      </w:r>
      <w:r w:rsidRPr="00F02A12">
        <w:rPr>
          <w:rFonts w:cs="Times New Roman"/>
          <w:sz w:val="20"/>
          <w:szCs w:val="20"/>
        </w:rPr>
        <w:t xml:space="preserve"> Law 6,404 of 1976, Art. 154.</w:t>
      </w:r>
    </w:p>
  </w:footnote>
  <w:footnote w:id="19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See</w:t>
      </w:r>
      <w:r w:rsidRPr="00F02A12">
        <w:rPr>
          <w:sz w:val="20"/>
          <w:szCs w:val="20"/>
        </w:rPr>
        <w:t xml:space="preserve">, </w:t>
      </w:r>
      <w:r w:rsidRPr="00F02A12">
        <w:rPr>
          <w:i/>
          <w:sz w:val="20"/>
          <w:szCs w:val="20"/>
        </w:rPr>
        <w:t>e.g.</w:t>
      </w:r>
      <w:r w:rsidRPr="00F02A12">
        <w:rPr>
          <w:sz w:val="20"/>
          <w:szCs w:val="20"/>
        </w:rPr>
        <w:t xml:space="preserve">, </w:t>
      </w:r>
      <w:r w:rsidRPr="00F02A12">
        <w:rPr>
          <w:smallCaps/>
          <w:sz w:val="20"/>
          <w:szCs w:val="20"/>
        </w:rPr>
        <w:t xml:space="preserve">Frank H. </w:t>
      </w:r>
      <w:proofErr w:type="spellStart"/>
      <w:r w:rsidRPr="00F02A12">
        <w:rPr>
          <w:smallCaps/>
          <w:sz w:val="20"/>
          <w:szCs w:val="20"/>
        </w:rPr>
        <w:t>Esterbrook</w:t>
      </w:r>
      <w:proofErr w:type="spellEnd"/>
      <w:r w:rsidRPr="00F02A12">
        <w:rPr>
          <w:smallCaps/>
          <w:sz w:val="20"/>
          <w:szCs w:val="20"/>
        </w:rPr>
        <w:t xml:space="preserve"> &amp; Daniel R. </w:t>
      </w:r>
      <w:proofErr w:type="spellStart"/>
      <w:r w:rsidRPr="00F02A12">
        <w:rPr>
          <w:smallCaps/>
          <w:sz w:val="20"/>
          <w:szCs w:val="20"/>
        </w:rPr>
        <w:t>Fischel</w:t>
      </w:r>
      <w:proofErr w:type="spellEnd"/>
      <w:r w:rsidRPr="00F02A12">
        <w:rPr>
          <w:smallCaps/>
          <w:sz w:val="20"/>
          <w:szCs w:val="20"/>
        </w:rPr>
        <w:t>, The Economic Structure of Corporate Law</w:t>
      </w:r>
      <w:r w:rsidRPr="00F02A12">
        <w:rPr>
          <w:sz w:val="20"/>
          <w:szCs w:val="20"/>
        </w:rPr>
        <w:t xml:space="preserve"> (1991); John </w:t>
      </w:r>
      <w:proofErr w:type="spellStart"/>
      <w:r w:rsidRPr="00F02A12">
        <w:rPr>
          <w:sz w:val="20"/>
          <w:szCs w:val="20"/>
        </w:rPr>
        <w:t>Armour</w:t>
      </w:r>
      <w:proofErr w:type="spellEnd"/>
      <w:r w:rsidRPr="00F02A12">
        <w:rPr>
          <w:sz w:val="20"/>
          <w:szCs w:val="20"/>
        </w:rPr>
        <w:t xml:space="preserve"> et al.,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_Ref451501819 \h  \* MERGEFORMAT </w:instrText>
      </w:r>
      <w:r w:rsidRPr="00F02A12">
        <w:rPr>
          <w:sz w:val="20"/>
          <w:szCs w:val="20"/>
        </w:rPr>
      </w:r>
      <w:r w:rsidRPr="00F02A12">
        <w:rPr>
          <w:sz w:val="20"/>
          <w:szCs w:val="20"/>
        </w:rPr>
        <w:fldChar w:fldCharType="separate"/>
      </w:r>
      <w:r>
        <w:rPr>
          <w:sz w:val="20"/>
          <w:szCs w:val="20"/>
        </w:rPr>
        <w:t>1</w:t>
      </w:r>
      <w:r w:rsidRPr="00F02A12">
        <w:rPr>
          <w:sz w:val="20"/>
          <w:szCs w:val="20"/>
        </w:rPr>
        <w:fldChar w:fldCharType="end"/>
      </w:r>
      <w:r w:rsidRPr="00F02A12">
        <w:rPr>
          <w:sz w:val="20"/>
          <w:szCs w:val="20"/>
        </w:rPr>
        <w:t>.</w:t>
      </w:r>
    </w:p>
  </w:footnote>
  <w:footnote w:id="19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For the classic articulation of this argument, </w:t>
      </w:r>
      <w:r w:rsidRPr="00F02A12">
        <w:rPr>
          <w:i/>
          <w:sz w:val="20"/>
          <w:szCs w:val="20"/>
        </w:rPr>
        <w:t xml:space="preserve">see </w:t>
      </w:r>
      <w:r w:rsidRPr="00F02A12">
        <w:rPr>
          <w:sz w:val="20"/>
          <w:szCs w:val="20"/>
        </w:rPr>
        <w:t xml:space="preserve">R. G. </w:t>
      </w:r>
      <w:proofErr w:type="spellStart"/>
      <w:r w:rsidRPr="00F02A12">
        <w:rPr>
          <w:sz w:val="20"/>
          <w:szCs w:val="20"/>
        </w:rPr>
        <w:t>Lipsey</w:t>
      </w:r>
      <w:proofErr w:type="spellEnd"/>
      <w:r w:rsidRPr="00F02A12">
        <w:rPr>
          <w:sz w:val="20"/>
          <w:szCs w:val="20"/>
        </w:rPr>
        <w:t xml:space="preserve"> &amp; Kelvin Lancaster, </w:t>
      </w:r>
      <w:r w:rsidRPr="00F02A12">
        <w:rPr>
          <w:i/>
          <w:sz w:val="20"/>
          <w:szCs w:val="20"/>
        </w:rPr>
        <w:t>The General Theory of Second Best</w:t>
      </w:r>
      <w:r w:rsidRPr="00F02A12">
        <w:rPr>
          <w:sz w:val="20"/>
          <w:szCs w:val="20"/>
        </w:rPr>
        <w:t xml:space="preserve">, 24 </w:t>
      </w:r>
      <w:r w:rsidRPr="00F02A12">
        <w:rPr>
          <w:smallCaps/>
          <w:sz w:val="20"/>
          <w:szCs w:val="20"/>
        </w:rPr>
        <w:t>Rev. Econ. Stud.</w:t>
      </w:r>
      <w:r w:rsidRPr="00F02A12">
        <w:rPr>
          <w:sz w:val="20"/>
          <w:szCs w:val="20"/>
        </w:rPr>
        <w:t xml:space="preserve"> </w:t>
      </w:r>
      <w:proofErr w:type="gramStart"/>
      <w:r w:rsidRPr="00F02A12">
        <w:rPr>
          <w:sz w:val="20"/>
          <w:szCs w:val="20"/>
        </w:rPr>
        <w:t>11</w:t>
      </w:r>
      <w:proofErr w:type="gramEnd"/>
      <w:r w:rsidRPr="00F02A12">
        <w:rPr>
          <w:sz w:val="20"/>
          <w:szCs w:val="20"/>
        </w:rPr>
        <w:t xml:space="preserve"> (1956).  </w:t>
      </w:r>
    </w:p>
  </w:footnote>
  <w:footnote w:id="200">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The term comes from </w:t>
      </w:r>
      <w:r w:rsidRPr="00F02A12">
        <w:rPr>
          <w:smallCaps/>
          <w:sz w:val="20"/>
          <w:szCs w:val="20"/>
        </w:rPr>
        <w:t>Varieties of Capitalism</w:t>
      </w:r>
      <w:r w:rsidRPr="00F02A12">
        <w:rPr>
          <w:sz w:val="20"/>
          <w:szCs w:val="20"/>
        </w:rPr>
        <w:t xml:space="preserve"> (Peter A. Hall &amp; David Soskice eds., 2001). For the application of second-best argument in the institutional context, </w:t>
      </w:r>
      <w:r w:rsidRPr="00F02A12">
        <w:rPr>
          <w:i/>
          <w:sz w:val="20"/>
          <w:szCs w:val="20"/>
        </w:rPr>
        <w:t xml:space="preserve">see </w:t>
      </w:r>
      <w:r w:rsidRPr="00F02A12">
        <w:rPr>
          <w:sz w:val="20"/>
          <w:szCs w:val="20"/>
        </w:rPr>
        <w:t xml:space="preserve">Dani </w:t>
      </w:r>
      <w:proofErr w:type="spellStart"/>
      <w:r w:rsidRPr="00F02A12">
        <w:rPr>
          <w:sz w:val="20"/>
          <w:szCs w:val="20"/>
        </w:rPr>
        <w:t>Rodrik</w:t>
      </w:r>
      <w:proofErr w:type="spellEnd"/>
      <w:r w:rsidRPr="00F02A12">
        <w:rPr>
          <w:sz w:val="20"/>
          <w:szCs w:val="20"/>
        </w:rPr>
        <w:t xml:space="preserve">, </w:t>
      </w:r>
      <w:r w:rsidRPr="00F02A12">
        <w:rPr>
          <w:i/>
          <w:sz w:val="20"/>
          <w:szCs w:val="20"/>
        </w:rPr>
        <w:t>Second-Best Institutions</w:t>
      </w:r>
      <w:r w:rsidRPr="00F02A12">
        <w:rPr>
          <w:sz w:val="20"/>
          <w:szCs w:val="20"/>
        </w:rPr>
        <w:t xml:space="preserve">, 98 </w:t>
      </w:r>
      <w:r w:rsidRPr="00F02A12">
        <w:rPr>
          <w:smallCaps/>
          <w:sz w:val="20"/>
          <w:szCs w:val="20"/>
        </w:rPr>
        <w:t>Am. Econ. Rev.</w:t>
      </w:r>
      <w:r w:rsidRPr="00F02A12">
        <w:rPr>
          <w:sz w:val="20"/>
          <w:szCs w:val="20"/>
        </w:rPr>
        <w:t xml:space="preserve"> 100 (2008). </w:t>
      </w:r>
    </w:p>
  </w:footnote>
  <w:footnote w:id="20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proofErr w:type="gramStart"/>
      <w:r w:rsidRPr="00F02A12">
        <w:rPr>
          <w:i/>
          <w:sz w:val="20"/>
          <w:szCs w:val="20"/>
        </w:rPr>
        <w:t>See</w:t>
      </w:r>
      <w:r w:rsidRPr="00F02A12">
        <w:rPr>
          <w:sz w:val="20"/>
          <w:szCs w:val="20"/>
        </w:rPr>
        <w:t xml:space="preserve">, </w:t>
      </w:r>
      <w:r w:rsidRPr="00F02A12">
        <w:rPr>
          <w:i/>
          <w:sz w:val="20"/>
          <w:szCs w:val="20"/>
        </w:rPr>
        <w:t>e.g.</w:t>
      </w:r>
      <w:r w:rsidRPr="00F02A12">
        <w:rPr>
          <w:sz w:val="20"/>
          <w:szCs w:val="20"/>
        </w:rPr>
        <w:t xml:space="preserve">, Richard A. Posner, </w:t>
      </w:r>
      <w:r w:rsidRPr="00F02A12">
        <w:rPr>
          <w:i/>
          <w:sz w:val="20"/>
          <w:szCs w:val="20"/>
        </w:rPr>
        <w:t>The Rights of Creditors of Affiliated Corporations</w:t>
      </w:r>
      <w:r w:rsidRPr="00F02A12">
        <w:rPr>
          <w:sz w:val="20"/>
          <w:szCs w:val="20"/>
        </w:rPr>
        <w:t xml:space="preserve">, 43 U. </w:t>
      </w:r>
      <w:r w:rsidRPr="00F02A12">
        <w:rPr>
          <w:smallCaps/>
          <w:sz w:val="20"/>
          <w:szCs w:val="20"/>
        </w:rPr>
        <w:t>Chi. L. Rev</w:t>
      </w:r>
      <w:r w:rsidRPr="00F02A12">
        <w:rPr>
          <w:sz w:val="20"/>
          <w:szCs w:val="20"/>
        </w:rPr>
        <w:t xml:space="preserve">. 499, 520  (1976) (noting that pursuing separate incorporations for purposes of evading tort liability permits the externalization of costs and is socially inefficient); Phillip I. Blumberg, </w:t>
      </w:r>
      <w:r w:rsidRPr="00F02A12">
        <w:rPr>
          <w:i/>
          <w:sz w:val="20"/>
          <w:szCs w:val="20"/>
        </w:rPr>
        <w:t>Limited Liability and Corporate Groups</w:t>
      </w:r>
      <w:r w:rsidRPr="00F02A12">
        <w:rPr>
          <w:sz w:val="20"/>
          <w:szCs w:val="20"/>
        </w:rPr>
        <w:t>, 11 J.</w:t>
      </w:r>
      <w:r w:rsidRPr="00F02A12">
        <w:rPr>
          <w:smallCaps/>
          <w:sz w:val="20"/>
          <w:szCs w:val="20"/>
        </w:rPr>
        <w:t xml:space="preserve"> Corp.</w:t>
      </w:r>
      <w:r w:rsidRPr="00F02A12">
        <w:rPr>
          <w:sz w:val="20"/>
          <w:szCs w:val="20"/>
        </w:rPr>
        <w:t xml:space="preserve"> L. 573, 576 (1986) (“limited liability that insulates shareholders, particularly parent corporations, from liability for the claims of involuntary creditors of the controlled corporation causes even economists convinced of the utility of limited liability generally to concede that limited liability raises serious problems because it enables the enterprise to externalize its costs”).</w:t>
      </w:r>
      <w:proofErr w:type="gramEnd"/>
      <w:r w:rsidRPr="00F02A12">
        <w:rPr>
          <w:sz w:val="20"/>
          <w:szCs w:val="20"/>
        </w:rPr>
        <w:t xml:space="preserve">  </w:t>
      </w:r>
    </w:p>
  </w:footnote>
  <w:footnote w:id="202">
    <w:p w:rsidR="000373FF" w:rsidRPr="00F02A12" w:rsidRDefault="000373FF" w:rsidP="00F02A12">
      <w:pPr>
        <w:pStyle w:val="Textodenotaderodap"/>
        <w:jc w:val="both"/>
        <w:rPr>
          <w:rFonts w:cs="Times New Roman"/>
          <w:sz w:val="20"/>
          <w:szCs w:val="20"/>
        </w:rPr>
      </w:pPr>
      <w:r w:rsidRPr="00F02A12">
        <w:rPr>
          <w:rStyle w:val="Refdenotaderodap"/>
          <w:sz w:val="20"/>
          <w:szCs w:val="20"/>
        </w:rPr>
        <w:footnoteRef/>
      </w:r>
      <w:r w:rsidRPr="00F02A12">
        <w:rPr>
          <w:sz w:val="20"/>
          <w:szCs w:val="20"/>
        </w:rPr>
        <w:t xml:space="preserve"> </w:t>
      </w:r>
      <w:proofErr w:type="spellStart"/>
      <w:r w:rsidRPr="00F02A12">
        <w:rPr>
          <w:rFonts w:cs="Times New Roman"/>
          <w:sz w:val="20"/>
          <w:szCs w:val="20"/>
          <w:lang w:val="en-GB"/>
        </w:rPr>
        <w:t>Hansmann</w:t>
      </w:r>
      <w:proofErr w:type="spellEnd"/>
      <w:r w:rsidRPr="00F02A12">
        <w:rPr>
          <w:rFonts w:cs="Times New Roman"/>
          <w:sz w:val="20"/>
          <w:szCs w:val="20"/>
          <w:lang w:val="en-GB"/>
        </w:rPr>
        <w:t xml:space="preserve"> &amp; </w:t>
      </w:r>
      <w:proofErr w:type="spellStart"/>
      <w:r w:rsidRPr="00F02A12">
        <w:rPr>
          <w:rFonts w:cs="Times New Roman"/>
          <w:sz w:val="20"/>
          <w:szCs w:val="20"/>
          <w:lang w:val="en-GB"/>
        </w:rPr>
        <w:t>Kraakman</w:t>
      </w:r>
      <w:proofErr w:type="spellEnd"/>
      <w:r w:rsidRPr="00F02A12">
        <w:rPr>
          <w:rFonts w:cs="Times New Roman"/>
          <w:sz w:val="20"/>
          <w:szCs w:val="20"/>
          <w:lang w:val="en-GB"/>
        </w:rPr>
        <w:t xml:space="preserve">, </w:t>
      </w:r>
      <w:r w:rsidRPr="00F02A12">
        <w:rPr>
          <w:rFonts w:cs="Times New Roman"/>
          <w:i/>
          <w:sz w:val="20"/>
          <w:szCs w:val="20"/>
          <w:lang w:val="en-GB"/>
        </w:rPr>
        <w:t xml:space="preserve">supra </w:t>
      </w:r>
      <w:r w:rsidRPr="00F02A12">
        <w:rPr>
          <w:rFonts w:cs="Times New Roman"/>
          <w:sz w:val="20"/>
          <w:szCs w:val="20"/>
          <w:lang w:val="en-GB"/>
        </w:rPr>
        <w:t xml:space="preserve">note </w:t>
      </w:r>
      <w:r w:rsidRPr="00F02A12">
        <w:rPr>
          <w:sz w:val="20"/>
          <w:szCs w:val="20"/>
        </w:rPr>
        <w:fldChar w:fldCharType="begin"/>
      </w:r>
      <w:r w:rsidRPr="00F02A12">
        <w:rPr>
          <w:sz w:val="20"/>
          <w:szCs w:val="20"/>
        </w:rPr>
        <w:instrText xml:space="preserve"> NOTEREF _Ref455601928 \h  \* MERGEFORMAT </w:instrText>
      </w:r>
      <w:r w:rsidRPr="00F02A12">
        <w:rPr>
          <w:sz w:val="20"/>
          <w:szCs w:val="20"/>
        </w:rPr>
      </w:r>
      <w:r w:rsidRPr="00F02A12">
        <w:rPr>
          <w:sz w:val="20"/>
          <w:szCs w:val="20"/>
        </w:rPr>
        <w:fldChar w:fldCharType="separate"/>
      </w:r>
      <w:r w:rsidRPr="00DD69EC">
        <w:rPr>
          <w:rFonts w:cs="Times New Roman"/>
          <w:sz w:val="20"/>
          <w:szCs w:val="20"/>
          <w:lang w:val="en-GB"/>
        </w:rPr>
        <w:t>136</w:t>
      </w:r>
      <w:r w:rsidRPr="00F02A12">
        <w:rPr>
          <w:sz w:val="20"/>
          <w:szCs w:val="20"/>
        </w:rPr>
        <w:fldChar w:fldCharType="end"/>
      </w:r>
      <w:r w:rsidRPr="00F02A12">
        <w:rPr>
          <w:rFonts w:cs="Times New Roman"/>
          <w:spacing w:val="-1"/>
          <w:sz w:val="20"/>
          <w:szCs w:val="20"/>
        </w:rPr>
        <w:t>.</w:t>
      </w:r>
    </w:p>
  </w:footnote>
  <w:footnote w:id="203">
    <w:p w:rsidR="000373FF" w:rsidRPr="00F02A12" w:rsidRDefault="000373FF" w:rsidP="00F02A12">
      <w:pPr>
        <w:pStyle w:val="Textodenotaderodap"/>
        <w:jc w:val="both"/>
        <w:rPr>
          <w:sz w:val="20"/>
          <w:szCs w:val="20"/>
        </w:rPr>
      </w:pPr>
      <w:r w:rsidRPr="00F02A12">
        <w:rPr>
          <w:rStyle w:val="Refdenotaderodap"/>
          <w:rFonts w:cs="Times New Roman"/>
          <w:sz w:val="20"/>
          <w:szCs w:val="20"/>
        </w:rPr>
        <w:footnoteRef/>
      </w:r>
      <w:r w:rsidRPr="00F02A12">
        <w:rPr>
          <w:rFonts w:cs="Times New Roman"/>
          <w:sz w:val="20"/>
          <w:szCs w:val="20"/>
        </w:rPr>
        <w:t xml:space="preserve"> Lucian A. </w:t>
      </w:r>
      <w:proofErr w:type="spellStart"/>
      <w:r w:rsidRPr="00F02A12">
        <w:rPr>
          <w:rFonts w:cs="Times New Roman"/>
          <w:sz w:val="20"/>
          <w:szCs w:val="20"/>
        </w:rPr>
        <w:t>Bebchuk</w:t>
      </w:r>
      <w:proofErr w:type="spellEnd"/>
      <w:r w:rsidRPr="00F02A12">
        <w:rPr>
          <w:rFonts w:cs="Times New Roman"/>
          <w:sz w:val="20"/>
          <w:szCs w:val="20"/>
        </w:rPr>
        <w:t xml:space="preserve"> &amp; Jesse M. Fried, </w:t>
      </w:r>
      <w:proofErr w:type="gramStart"/>
      <w:r w:rsidRPr="00F02A12">
        <w:rPr>
          <w:rFonts w:cs="Times New Roman"/>
          <w:i/>
          <w:sz w:val="20"/>
          <w:szCs w:val="20"/>
        </w:rPr>
        <w:t>The</w:t>
      </w:r>
      <w:proofErr w:type="gramEnd"/>
      <w:r w:rsidRPr="00F02A12">
        <w:rPr>
          <w:rFonts w:cs="Times New Roman"/>
          <w:i/>
          <w:sz w:val="20"/>
          <w:szCs w:val="20"/>
        </w:rPr>
        <w:t xml:space="preserve"> Uneasy Case for the Priority of Secured Claims in Bankruptcy</w:t>
      </w:r>
      <w:r w:rsidRPr="00F02A12">
        <w:rPr>
          <w:rFonts w:cs="Times New Roman"/>
          <w:sz w:val="20"/>
          <w:szCs w:val="20"/>
        </w:rPr>
        <w:t xml:space="preserve">, 105 </w:t>
      </w:r>
      <w:r w:rsidRPr="00F02A12">
        <w:rPr>
          <w:rFonts w:cs="Times New Roman"/>
          <w:smallCaps/>
          <w:sz w:val="20"/>
          <w:szCs w:val="20"/>
        </w:rPr>
        <w:t>Yale L. J.</w:t>
      </w:r>
      <w:r w:rsidRPr="00F02A12">
        <w:rPr>
          <w:rFonts w:cs="Times New Roman"/>
          <w:sz w:val="20"/>
          <w:szCs w:val="20"/>
        </w:rPr>
        <w:t xml:space="preserve"> 857 (1996). </w:t>
      </w:r>
      <w:proofErr w:type="spellStart"/>
      <w:r w:rsidRPr="00F02A12">
        <w:rPr>
          <w:rFonts w:cs="Times New Roman"/>
          <w:sz w:val="20"/>
          <w:szCs w:val="20"/>
        </w:rPr>
        <w:t>Bebchuk</w:t>
      </w:r>
      <w:proofErr w:type="spellEnd"/>
      <w:r w:rsidRPr="00F02A12">
        <w:rPr>
          <w:rFonts w:cs="Times New Roman"/>
          <w:sz w:val="20"/>
          <w:szCs w:val="20"/>
        </w:rPr>
        <w:t xml:space="preserve"> and Fried formulate the distinction between adjusting and non-adjusting creditors in the context of priority of secured claims in bankruptcy, a regime that, like limited liability, imposes negative externalities on non-adjusting creditors and, therefore, distorts behavior. For a discussion in the context of limited liability, </w:t>
      </w:r>
      <w:r w:rsidRPr="00F02A12">
        <w:rPr>
          <w:rFonts w:cs="Times New Roman"/>
          <w:i/>
          <w:sz w:val="20"/>
          <w:szCs w:val="20"/>
        </w:rPr>
        <w:t xml:space="preserve">see </w:t>
      </w:r>
      <w:r w:rsidRPr="00F02A12">
        <w:rPr>
          <w:rFonts w:cs="Times New Roman"/>
          <w:sz w:val="20"/>
          <w:szCs w:val="20"/>
        </w:rPr>
        <w:t xml:space="preserve">John </w:t>
      </w:r>
      <w:proofErr w:type="spellStart"/>
      <w:r w:rsidRPr="00F02A12">
        <w:rPr>
          <w:rFonts w:cs="Times New Roman"/>
          <w:sz w:val="20"/>
          <w:szCs w:val="20"/>
        </w:rPr>
        <w:t>Armour</w:t>
      </w:r>
      <w:proofErr w:type="spellEnd"/>
      <w:r w:rsidRPr="00F02A12">
        <w:rPr>
          <w:rFonts w:cs="Times New Roman"/>
          <w:sz w:val="20"/>
          <w:szCs w:val="20"/>
        </w:rPr>
        <w:t xml:space="preserve"> et al., </w:t>
      </w:r>
      <w:r w:rsidRPr="00F02A12">
        <w:rPr>
          <w:rFonts w:cs="Times New Roman"/>
          <w:i/>
          <w:sz w:val="20"/>
          <w:szCs w:val="20"/>
        </w:rPr>
        <w:t>Transactions with Creditors</w:t>
      </w:r>
      <w:r w:rsidRPr="00F02A12">
        <w:rPr>
          <w:rFonts w:cs="Times New Roman"/>
          <w:sz w:val="20"/>
          <w:szCs w:val="20"/>
        </w:rPr>
        <w:t xml:space="preserve">, </w:t>
      </w:r>
      <w:r w:rsidRPr="00F02A12">
        <w:rPr>
          <w:rFonts w:cs="Times New Roman"/>
          <w:i/>
          <w:sz w:val="20"/>
          <w:szCs w:val="20"/>
        </w:rPr>
        <w:t xml:space="preserve">in </w:t>
      </w:r>
      <w:r w:rsidRPr="00F02A12">
        <w:rPr>
          <w:rFonts w:cs="Times New Roman"/>
          <w:smallCaps/>
          <w:sz w:val="20"/>
          <w:szCs w:val="20"/>
        </w:rPr>
        <w:t>Anatomy of Corporate Law</w:t>
      </w:r>
      <w:r w:rsidRPr="00F02A12">
        <w:rPr>
          <w:rFonts w:cs="Times New Roman"/>
          <w:sz w:val="20"/>
          <w:szCs w:val="20"/>
        </w:rPr>
        <w:t xml:space="preserve">, </w:t>
      </w:r>
      <w:r w:rsidRPr="00F02A12">
        <w:rPr>
          <w:rFonts w:cs="Times New Roman"/>
          <w:i/>
          <w:sz w:val="20"/>
          <w:szCs w:val="20"/>
        </w:rPr>
        <w:t xml:space="preserve">supra </w:t>
      </w:r>
      <w:r w:rsidRPr="00F02A12">
        <w:rPr>
          <w:rFonts w:cs="Times New Roman"/>
          <w:sz w:val="20"/>
          <w:szCs w:val="20"/>
        </w:rPr>
        <w:t xml:space="preserve">note </w:t>
      </w:r>
      <w:r w:rsidRPr="00F02A12">
        <w:rPr>
          <w:sz w:val="20"/>
          <w:szCs w:val="20"/>
        </w:rPr>
        <w:fldChar w:fldCharType="begin"/>
      </w:r>
      <w:r w:rsidRPr="00F02A12">
        <w:rPr>
          <w:sz w:val="20"/>
          <w:szCs w:val="20"/>
        </w:rPr>
        <w:instrText xml:space="preserve"> NOTEREF _Ref451501819 \h  \* MERGEFORMAT </w:instrText>
      </w:r>
      <w:r w:rsidRPr="00F02A12">
        <w:rPr>
          <w:sz w:val="20"/>
          <w:szCs w:val="20"/>
        </w:rPr>
      </w:r>
      <w:r w:rsidRPr="00F02A12">
        <w:rPr>
          <w:sz w:val="20"/>
          <w:szCs w:val="20"/>
        </w:rPr>
        <w:fldChar w:fldCharType="separate"/>
      </w:r>
      <w:proofErr w:type="gramStart"/>
      <w:r>
        <w:rPr>
          <w:sz w:val="20"/>
          <w:szCs w:val="20"/>
        </w:rPr>
        <w:t>1</w:t>
      </w:r>
      <w:proofErr w:type="gramEnd"/>
      <w:r w:rsidRPr="00F02A12">
        <w:rPr>
          <w:sz w:val="20"/>
          <w:szCs w:val="20"/>
        </w:rPr>
        <w:fldChar w:fldCharType="end"/>
      </w:r>
      <w:r w:rsidRPr="00F02A12">
        <w:rPr>
          <w:rFonts w:cs="Times New Roman"/>
          <w:sz w:val="20"/>
          <w:szCs w:val="20"/>
        </w:rPr>
        <w:t>.</w:t>
      </w:r>
    </w:p>
  </w:footnote>
  <w:footnote w:id="204">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Id.</w:t>
      </w:r>
    </w:p>
  </w:footnote>
  <w:footnote w:id="205">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Frank H. Easterbrook &amp; Daniel R. </w:t>
      </w:r>
      <w:proofErr w:type="spellStart"/>
      <w:r w:rsidRPr="00F02A12">
        <w:rPr>
          <w:sz w:val="20"/>
          <w:szCs w:val="20"/>
        </w:rPr>
        <w:t>Fischel</w:t>
      </w:r>
      <w:proofErr w:type="spellEnd"/>
      <w:r w:rsidRPr="00F02A12">
        <w:rPr>
          <w:sz w:val="20"/>
          <w:szCs w:val="20"/>
        </w:rPr>
        <w:t xml:space="preserve">, </w:t>
      </w:r>
      <w:r w:rsidRPr="00F02A12">
        <w:rPr>
          <w:i/>
          <w:sz w:val="20"/>
          <w:szCs w:val="20"/>
        </w:rPr>
        <w:t>Limited Liability and the Corporation</w:t>
      </w:r>
      <w:r w:rsidRPr="00F02A12">
        <w:rPr>
          <w:sz w:val="20"/>
          <w:szCs w:val="20"/>
        </w:rPr>
        <w:t xml:space="preserve">, 52 </w:t>
      </w:r>
      <w:r w:rsidRPr="00F02A12">
        <w:rPr>
          <w:smallCaps/>
          <w:sz w:val="20"/>
          <w:szCs w:val="20"/>
        </w:rPr>
        <w:t>U. Chi. L. Rev.</w:t>
      </w:r>
      <w:r w:rsidRPr="00F02A12">
        <w:rPr>
          <w:sz w:val="20"/>
          <w:szCs w:val="20"/>
        </w:rPr>
        <w:t xml:space="preserve"> 89, 111 (1985);</w:t>
      </w:r>
      <w:r w:rsidRPr="00F02A12">
        <w:rPr>
          <w:i/>
          <w:sz w:val="20"/>
          <w:szCs w:val="20"/>
        </w:rPr>
        <w:t xml:space="preserve"> </w:t>
      </w:r>
      <w:r w:rsidRPr="00F02A12">
        <w:rPr>
          <w:sz w:val="20"/>
          <w:szCs w:val="20"/>
        </w:rPr>
        <w:t xml:space="preserve">Henry </w:t>
      </w:r>
      <w:proofErr w:type="spellStart"/>
      <w:r w:rsidRPr="00F02A12">
        <w:rPr>
          <w:sz w:val="20"/>
          <w:szCs w:val="20"/>
        </w:rPr>
        <w:t>Hansmann</w:t>
      </w:r>
      <w:proofErr w:type="spellEnd"/>
      <w:r w:rsidRPr="00F02A12">
        <w:rPr>
          <w:rFonts w:cs="Cambria Math"/>
          <w:sz w:val="20"/>
          <w:szCs w:val="20"/>
        </w:rPr>
        <w:t xml:space="preserve"> &amp; </w:t>
      </w:r>
      <w:r w:rsidRPr="00F02A12">
        <w:rPr>
          <w:sz w:val="20"/>
          <w:szCs w:val="20"/>
        </w:rPr>
        <w:t xml:space="preserve">Richard Squire, </w:t>
      </w:r>
      <w:r w:rsidRPr="00F02A12">
        <w:rPr>
          <w:i/>
          <w:sz w:val="20"/>
          <w:szCs w:val="20"/>
        </w:rPr>
        <w:t>External and Internal Asset Partitioning: Corporations and Their Subsidiaries</w:t>
      </w:r>
      <w:r w:rsidRPr="00F02A12">
        <w:rPr>
          <w:sz w:val="20"/>
          <w:szCs w:val="20"/>
        </w:rPr>
        <w:t xml:space="preserve">, </w:t>
      </w:r>
      <w:r w:rsidRPr="00F02A12">
        <w:rPr>
          <w:i/>
          <w:sz w:val="20"/>
          <w:szCs w:val="20"/>
        </w:rPr>
        <w:t xml:space="preserve">in </w:t>
      </w:r>
      <w:r w:rsidRPr="00F02A12">
        <w:rPr>
          <w:smallCaps/>
          <w:sz w:val="20"/>
          <w:szCs w:val="20"/>
        </w:rPr>
        <w:t>Oxford Handbook</w:t>
      </w:r>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_Ref452990875 \h  \* MERGEFORMAT </w:instrText>
      </w:r>
      <w:r w:rsidRPr="00F02A12">
        <w:rPr>
          <w:sz w:val="20"/>
          <w:szCs w:val="20"/>
        </w:rPr>
      </w:r>
      <w:r w:rsidRPr="00F02A12">
        <w:rPr>
          <w:sz w:val="20"/>
          <w:szCs w:val="20"/>
        </w:rPr>
        <w:fldChar w:fldCharType="separate"/>
      </w:r>
      <w:r>
        <w:rPr>
          <w:sz w:val="20"/>
          <w:szCs w:val="20"/>
        </w:rPr>
        <w:t>154</w:t>
      </w:r>
      <w:r w:rsidRPr="00F02A12">
        <w:rPr>
          <w:sz w:val="20"/>
          <w:szCs w:val="20"/>
        </w:rPr>
        <w:fldChar w:fldCharType="end"/>
      </w:r>
      <w:r w:rsidRPr="00F02A12">
        <w:rPr>
          <w:sz w:val="20"/>
          <w:szCs w:val="20"/>
        </w:rPr>
        <w:t xml:space="preserve">; Bainbridge, </w:t>
      </w:r>
      <w:r w:rsidRPr="00F02A12">
        <w:rPr>
          <w:i/>
          <w:sz w:val="20"/>
          <w:szCs w:val="20"/>
        </w:rPr>
        <w:t xml:space="preserve">supra </w:t>
      </w:r>
      <w:r w:rsidRPr="00F02A12">
        <w:rPr>
          <w:sz w:val="20"/>
          <w:szCs w:val="20"/>
        </w:rPr>
        <w:t>note</w:t>
      </w:r>
      <w:r>
        <w:rPr>
          <w:sz w:val="20"/>
          <w:szCs w:val="20"/>
        </w:rPr>
        <w:t xml:space="preserve"> </w:t>
      </w:r>
      <w:r>
        <w:rPr>
          <w:sz w:val="20"/>
          <w:szCs w:val="20"/>
        </w:rPr>
        <w:fldChar w:fldCharType="begin"/>
      </w:r>
      <w:r>
        <w:rPr>
          <w:sz w:val="20"/>
          <w:szCs w:val="20"/>
        </w:rPr>
        <w:instrText xml:space="preserve"> NOTEREF _Ref464281291 \h </w:instrText>
      </w:r>
      <w:r>
        <w:rPr>
          <w:sz w:val="20"/>
          <w:szCs w:val="20"/>
        </w:rPr>
      </w:r>
      <w:r>
        <w:rPr>
          <w:sz w:val="20"/>
          <w:szCs w:val="20"/>
        </w:rPr>
        <w:fldChar w:fldCharType="separate"/>
      </w:r>
      <w:r>
        <w:rPr>
          <w:sz w:val="20"/>
          <w:szCs w:val="20"/>
        </w:rPr>
        <w:t>98</w:t>
      </w:r>
      <w:r>
        <w:rPr>
          <w:sz w:val="20"/>
          <w:szCs w:val="20"/>
        </w:rPr>
        <w:fldChar w:fldCharType="end"/>
      </w:r>
      <w:r w:rsidRPr="00F02A12">
        <w:rPr>
          <w:sz w:val="20"/>
          <w:szCs w:val="20"/>
        </w:rPr>
        <w:t>, at 526.</w:t>
      </w:r>
    </w:p>
  </w:footnote>
  <w:footnote w:id="20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proofErr w:type="spellStart"/>
      <w:r w:rsidRPr="00F02A12">
        <w:rPr>
          <w:sz w:val="20"/>
          <w:szCs w:val="20"/>
        </w:rPr>
        <w:t>Hansmann</w:t>
      </w:r>
      <w:proofErr w:type="spellEnd"/>
      <w:r w:rsidRPr="00F02A12">
        <w:rPr>
          <w:sz w:val="20"/>
          <w:szCs w:val="20"/>
        </w:rPr>
        <w:t xml:space="preserve"> &amp; Squire,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_Ref452991012 \h  \* MERGEFORMAT </w:instrText>
      </w:r>
      <w:r w:rsidRPr="00F02A12">
        <w:rPr>
          <w:sz w:val="20"/>
          <w:szCs w:val="20"/>
        </w:rPr>
      </w:r>
      <w:r w:rsidRPr="00F02A12">
        <w:rPr>
          <w:sz w:val="20"/>
          <w:szCs w:val="20"/>
        </w:rPr>
        <w:fldChar w:fldCharType="separate"/>
      </w:r>
      <w:r>
        <w:rPr>
          <w:sz w:val="20"/>
          <w:szCs w:val="20"/>
        </w:rPr>
        <w:t>205</w:t>
      </w:r>
      <w:r w:rsidRPr="00F02A12">
        <w:rPr>
          <w:sz w:val="20"/>
          <w:szCs w:val="20"/>
        </w:rPr>
        <w:fldChar w:fldCharType="end"/>
      </w:r>
      <w:r w:rsidRPr="00F02A12">
        <w:rPr>
          <w:sz w:val="20"/>
          <w:szCs w:val="20"/>
        </w:rPr>
        <w:t>.</w:t>
      </w:r>
    </w:p>
  </w:footnote>
  <w:footnote w:id="20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Id.</w:t>
      </w:r>
    </w:p>
  </w:footnote>
  <w:footnote w:id="20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Id.</w:t>
      </w:r>
    </w:p>
  </w:footnote>
  <w:footnote w:id="20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It is important to recognize, however, that the disregard of legal entities within corporate groups in Brazil tends to be a more drastic step than in the U.S. context. The reason is that, while the overwhelming majority of subsidiaries in the United States </w:t>
      </w:r>
      <w:proofErr w:type="gramStart"/>
      <w:r w:rsidRPr="00F02A12">
        <w:rPr>
          <w:sz w:val="20"/>
          <w:szCs w:val="20"/>
        </w:rPr>
        <w:t>are wholly owned</w:t>
      </w:r>
      <w:proofErr w:type="gramEnd"/>
      <w:r w:rsidRPr="00F02A12">
        <w:rPr>
          <w:sz w:val="20"/>
          <w:szCs w:val="20"/>
        </w:rPr>
        <w:t xml:space="preserve">, Brazil has a fair share of pyramidal business groups in which outside shareholders hold minority stakes in the firm. Consequently, veil piercing and substantive consolidation frustrate not reduce the benefits of specialized monitoring by corporate creditors, but also by minority shareholders. </w:t>
      </w:r>
      <w:r w:rsidRPr="00F02A12">
        <w:rPr>
          <w:i/>
          <w:sz w:val="20"/>
          <w:szCs w:val="20"/>
        </w:rPr>
        <w:t xml:space="preserve">See </w:t>
      </w:r>
      <w:r w:rsidRPr="00F02A12">
        <w:rPr>
          <w:sz w:val="20"/>
          <w:szCs w:val="20"/>
        </w:rPr>
        <w:t xml:space="preserve">George Triantis, </w:t>
      </w:r>
      <w:r w:rsidRPr="00F02A12">
        <w:rPr>
          <w:i/>
          <w:sz w:val="20"/>
          <w:szCs w:val="20"/>
        </w:rPr>
        <w:t>Organizations and Internal Capital Markets: The Legal Boundaries of Firms, Collateral, and Trusts in Commercial and Charitable Enterprises</w:t>
      </w:r>
      <w:r w:rsidRPr="00F02A12">
        <w:rPr>
          <w:sz w:val="20"/>
          <w:szCs w:val="20"/>
        </w:rPr>
        <w:t xml:space="preserve">, </w:t>
      </w:r>
      <w:r w:rsidRPr="00F02A12">
        <w:rPr>
          <w:smallCaps/>
          <w:sz w:val="20"/>
          <w:szCs w:val="20"/>
        </w:rPr>
        <w:t xml:space="preserve">117 </w:t>
      </w:r>
      <w:proofErr w:type="spellStart"/>
      <w:r w:rsidRPr="00F02A12">
        <w:rPr>
          <w:smallCaps/>
          <w:sz w:val="20"/>
          <w:szCs w:val="20"/>
        </w:rPr>
        <w:t>Harv</w:t>
      </w:r>
      <w:proofErr w:type="spellEnd"/>
      <w:r w:rsidRPr="00F02A12">
        <w:rPr>
          <w:smallCaps/>
          <w:sz w:val="20"/>
          <w:szCs w:val="20"/>
        </w:rPr>
        <w:t>. L. Rev</w:t>
      </w:r>
      <w:r w:rsidRPr="00F02A12">
        <w:rPr>
          <w:sz w:val="20"/>
          <w:szCs w:val="20"/>
        </w:rPr>
        <w:t>. 1102, 1134 (2004) (discussing how the sales of minority stakes in subsidiaries intensify investor monitoring).</w:t>
      </w:r>
    </w:p>
  </w:footnote>
  <w:footnote w:id="210">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Jonathan Macey &amp; Geoffrey P. Miller have argued that the system of “double liability” prevailing in the United States between the Civil War and the Great Depression was superior to the later system of deposit insurance administered by the government. Macey &amp; Miller,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_Ref455583212 \h  \* MERGEFORMAT </w:instrText>
      </w:r>
      <w:r w:rsidRPr="00F02A12">
        <w:rPr>
          <w:sz w:val="20"/>
          <w:szCs w:val="20"/>
        </w:rPr>
      </w:r>
      <w:r w:rsidRPr="00F02A12">
        <w:rPr>
          <w:sz w:val="20"/>
          <w:szCs w:val="20"/>
        </w:rPr>
        <w:fldChar w:fldCharType="separate"/>
      </w:r>
      <w:r>
        <w:rPr>
          <w:sz w:val="20"/>
          <w:szCs w:val="20"/>
        </w:rPr>
        <w:t>90</w:t>
      </w:r>
      <w:r w:rsidRPr="00F02A12">
        <w:rPr>
          <w:sz w:val="20"/>
          <w:szCs w:val="20"/>
        </w:rPr>
        <w:fldChar w:fldCharType="end"/>
      </w:r>
      <w:r w:rsidRPr="00F02A12">
        <w:rPr>
          <w:sz w:val="20"/>
          <w:szCs w:val="20"/>
        </w:rPr>
        <w:t xml:space="preserve">. </w:t>
      </w:r>
    </w:p>
  </w:footnote>
  <w:footnote w:id="21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Marie-Laure </w:t>
      </w:r>
      <w:proofErr w:type="spellStart"/>
      <w:r w:rsidRPr="00F02A12">
        <w:rPr>
          <w:sz w:val="20"/>
          <w:szCs w:val="20"/>
        </w:rPr>
        <w:t>Djelic</w:t>
      </w:r>
      <w:proofErr w:type="spellEnd"/>
      <w:r w:rsidRPr="00F02A12">
        <w:rPr>
          <w:sz w:val="20"/>
          <w:szCs w:val="20"/>
        </w:rPr>
        <w:t xml:space="preserve"> &amp; Joel </w:t>
      </w:r>
      <w:proofErr w:type="spellStart"/>
      <w:r w:rsidRPr="00F02A12">
        <w:rPr>
          <w:sz w:val="20"/>
          <w:szCs w:val="20"/>
        </w:rPr>
        <w:t>Bothello</w:t>
      </w:r>
      <w:proofErr w:type="spellEnd"/>
      <w:r w:rsidRPr="00F02A12">
        <w:rPr>
          <w:sz w:val="20"/>
          <w:szCs w:val="20"/>
        </w:rPr>
        <w:t xml:space="preserve">, </w:t>
      </w:r>
      <w:r w:rsidRPr="00F02A12">
        <w:rPr>
          <w:i/>
          <w:sz w:val="20"/>
          <w:szCs w:val="20"/>
        </w:rPr>
        <w:t>Limited Liability and Moral Hazard Implications: An Alternative Reading of the Financial Crisis</w:t>
      </w:r>
      <w:r w:rsidRPr="00F02A12">
        <w:rPr>
          <w:sz w:val="20"/>
          <w:szCs w:val="20"/>
        </w:rPr>
        <w:t xml:space="preserve"> (2014), http://ssrn.com/abstract=2418901.</w:t>
      </w:r>
    </w:p>
  </w:footnote>
  <w:footnote w:id="212">
    <w:p w:rsidR="000373FF" w:rsidRPr="00F02A12" w:rsidRDefault="000373FF" w:rsidP="00F02A12">
      <w:pPr>
        <w:autoSpaceDE w:val="0"/>
        <w:autoSpaceDN w:val="0"/>
        <w:adjustRightInd w:val="0"/>
        <w:spacing w:after="0" w:line="240" w:lineRule="auto"/>
        <w:jc w:val="both"/>
        <w:rPr>
          <w:i/>
          <w:sz w:val="20"/>
          <w:szCs w:val="20"/>
          <w:lang w:val="en-US"/>
        </w:rPr>
      </w:pPr>
      <w:r w:rsidRPr="00F02A12">
        <w:rPr>
          <w:rStyle w:val="Refdenotaderodap"/>
          <w:sz w:val="20"/>
          <w:szCs w:val="20"/>
        </w:rPr>
        <w:footnoteRef/>
      </w:r>
      <w:r w:rsidRPr="00F02A12">
        <w:rPr>
          <w:sz w:val="20"/>
          <w:szCs w:val="20"/>
          <w:lang w:val="en-US"/>
        </w:rPr>
        <w:t xml:space="preserve"> </w:t>
      </w:r>
      <w:proofErr w:type="gramStart"/>
      <w:r w:rsidRPr="00F02A12">
        <w:rPr>
          <w:i/>
          <w:sz w:val="20"/>
          <w:szCs w:val="20"/>
          <w:lang w:val="en-US"/>
        </w:rPr>
        <w:t>See</w:t>
      </w:r>
      <w:r w:rsidRPr="00F02A12">
        <w:rPr>
          <w:sz w:val="20"/>
          <w:szCs w:val="20"/>
          <w:lang w:val="en-US"/>
        </w:rPr>
        <w:t xml:space="preserve">, </w:t>
      </w:r>
      <w:r w:rsidRPr="00F02A12">
        <w:rPr>
          <w:i/>
          <w:sz w:val="20"/>
          <w:szCs w:val="20"/>
          <w:lang w:val="en-US"/>
        </w:rPr>
        <w:t>e.g.</w:t>
      </w:r>
      <w:r w:rsidRPr="00F02A12">
        <w:rPr>
          <w:sz w:val="20"/>
          <w:szCs w:val="20"/>
          <w:lang w:val="en-US"/>
        </w:rPr>
        <w:t xml:space="preserve">, Kevin Dowd, </w:t>
      </w:r>
      <w:r w:rsidRPr="00F02A12">
        <w:rPr>
          <w:i/>
          <w:sz w:val="20"/>
          <w:szCs w:val="20"/>
          <w:lang w:val="en-US"/>
        </w:rPr>
        <w:t>Moral Hazard and the Financial Crisis</w:t>
      </w:r>
      <w:r w:rsidRPr="00F02A12">
        <w:rPr>
          <w:sz w:val="20"/>
          <w:szCs w:val="20"/>
          <w:lang w:val="en-US"/>
        </w:rPr>
        <w:t xml:space="preserve">, 29 CATO J. 141 (2009); Willem H. </w:t>
      </w:r>
      <w:proofErr w:type="spellStart"/>
      <w:r w:rsidRPr="00F02A12">
        <w:rPr>
          <w:sz w:val="20"/>
          <w:szCs w:val="20"/>
          <w:lang w:val="en-US"/>
        </w:rPr>
        <w:t>Buiter</w:t>
      </w:r>
      <w:proofErr w:type="spellEnd"/>
      <w:r w:rsidRPr="00F02A12">
        <w:rPr>
          <w:sz w:val="20"/>
          <w:szCs w:val="20"/>
          <w:lang w:val="en-US"/>
        </w:rPr>
        <w:t xml:space="preserve">, </w:t>
      </w:r>
      <w:r w:rsidRPr="00F02A12">
        <w:rPr>
          <w:i/>
          <w:sz w:val="20"/>
          <w:szCs w:val="20"/>
          <w:lang w:val="en-US"/>
        </w:rPr>
        <w:t>Lessons from the Global Financial Crisis for Regulators and Supervisors</w:t>
      </w:r>
      <w:r w:rsidRPr="00F02A12">
        <w:rPr>
          <w:sz w:val="20"/>
          <w:szCs w:val="20"/>
          <w:lang w:val="en-US"/>
        </w:rPr>
        <w:t xml:space="preserve"> (working paper, 2009), http://www.lse.ac.uk/fmg/workingPapers/discussionPapers/fmgdps/DP635.pdf;</w:t>
      </w:r>
      <w:r w:rsidRPr="00F02A12">
        <w:rPr>
          <w:i/>
          <w:sz w:val="20"/>
          <w:szCs w:val="20"/>
          <w:lang w:val="en-US"/>
        </w:rPr>
        <w:t xml:space="preserve"> </w:t>
      </w:r>
      <w:proofErr w:type="spellStart"/>
      <w:r w:rsidRPr="00F02A12">
        <w:rPr>
          <w:sz w:val="20"/>
          <w:szCs w:val="20"/>
          <w:lang w:val="en-US"/>
        </w:rPr>
        <w:t>Djelic</w:t>
      </w:r>
      <w:proofErr w:type="spellEnd"/>
      <w:r w:rsidRPr="00F02A12">
        <w:rPr>
          <w:sz w:val="20"/>
          <w:szCs w:val="20"/>
          <w:lang w:val="en-US"/>
        </w:rPr>
        <w:t xml:space="preserve"> &amp; </w:t>
      </w:r>
      <w:proofErr w:type="spellStart"/>
      <w:r w:rsidRPr="00F02A12">
        <w:rPr>
          <w:sz w:val="20"/>
          <w:szCs w:val="20"/>
          <w:lang w:val="en-US"/>
        </w:rPr>
        <w:t>Bohello</w:t>
      </w:r>
      <w:proofErr w:type="spellEnd"/>
      <w:r w:rsidRPr="00F02A12">
        <w:rPr>
          <w:sz w:val="20"/>
          <w:szCs w:val="20"/>
          <w:lang w:val="en-US"/>
        </w:rPr>
        <w:t xml:space="preserve">, </w:t>
      </w:r>
      <w:r w:rsidRPr="00F02A12">
        <w:rPr>
          <w:i/>
          <w:sz w:val="20"/>
          <w:szCs w:val="20"/>
          <w:lang w:val="en-US"/>
        </w:rPr>
        <w:t xml:space="preserve">supra </w:t>
      </w:r>
      <w:r w:rsidRPr="00F02A12">
        <w:rPr>
          <w:sz w:val="20"/>
          <w:szCs w:val="20"/>
          <w:lang w:val="en-US"/>
        </w:rPr>
        <w:t xml:space="preserve">note </w:t>
      </w:r>
      <w:r w:rsidRPr="00F02A12">
        <w:rPr>
          <w:sz w:val="20"/>
          <w:szCs w:val="20"/>
        </w:rPr>
        <w:fldChar w:fldCharType="begin"/>
      </w:r>
      <w:r w:rsidRPr="00F02A12">
        <w:rPr>
          <w:sz w:val="20"/>
          <w:szCs w:val="20"/>
          <w:lang w:val="en-US"/>
        </w:rPr>
        <w:instrText xml:space="preserve"> NOTEREF _Ref454897910 \h  \* MERGEFORMAT </w:instrText>
      </w:r>
      <w:r w:rsidRPr="00F02A12">
        <w:rPr>
          <w:sz w:val="20"/>
          <w:szCs w:val="20"/>
        </w:rPr>
      </w:r>
      <w:r w:rsidRPr="00F02A12">
        <w:rPr>
          <w:sz w:val="20"/>
          <w:szCs w:val="20"/>
        </w:rPr>
        <w:fldChar w:fldCharType="separate"/>
      </w:r>
      <w:r>
        <w:rPr>
          <w:sz w:val="20"/>
          <w:szCs w:val="20"/>
          <w:lang w:val="en-US"/>
        </w:rPr>
        <w:t>211</w:t>
      </w:r>
      <w:r w:rsidRPr="00F02A12">
        <w:rPr>
          <w:sz w:val="20"/>
          <w:szCs w:val="20"/>
        </w:rPr>
        <w:fldChar w:fldCharType="end"/>
      </w:r>
      <w:r w:rsidRPr="00F02A12">
        <w:rPr>
          <w:sz w:val="20"/>
          <w:szCs w:val="20"/>
          <w:lang w:val="en-US"/>
        </w:rPr>
        <w:t xml:space="preserve">; Conti-Brown, </w:t>
      </w:r>
      <w:r w:rsidRPr="00F02A12">
        <w:rPr>
          <w:i/>
          <w:sz w:val="20"/>
          <w:szCs w:val="20"/>
          <w:lang w:val="en-US"/>
        </w:rPr>
        <w:t xml:space="preserve">supra </w:t>
      </w:r>
      <w:r w:rsidRPr="00F02A12">
        <w:rPr>
          <w:sz w:val="20"/>
          <w:szCs w:val="20"/>
          <w:lang w:val="en-US"/>
        </w:rPr>
        <w:t xml:space="preserve">note </w:t>
      </w:r>
      <w:r w:rsidRPr="00F02A12">
        <w:rPr>
          <w:sz w:val="20"/>
          <w:szCs w:val="20"/>
        </w:rPr>
        <w:fldChar w:fldCharType="begin"/>
      </w:r>
      <w:r w:rsidRPr="00F02A12">
        <w:rPr>
          <w:sz w:val="20"/>
          <w:szCs w:val="20"/>
          <w:lang w:val="en-US"/>
        </w:rPr>
        <w:instrText xml:space="preserve"> NOTEREF _Ref456099380 \h  \* MERGEFORMAT </w:instrText>
      </w:r>
      <w:r w:rsidRPr="00F02A12">
        <w:rPr>
          <w:sz w:val="20"/>
          <w:szCs w:val="20"/>
        </w:rPr>
      </w:r>
      <w:r w:rsidRPr="00F02A12">
        <w:rPr>
          <w:sz w:val="20"/>
          <w:szCs w:val="20"/>
        </w:rPr>
        <w:fldChar w:fldCharType="separate"/>
      </w:r>
      <w:r>
        <w:rPr>
          <w:sz w:val="20"/>
          <w:szCs w:val="20"/>
          <w:lang w:val="en-US"/>
        </w:rPr>
        <w:t>145</w:t>
      </w:r>
      <w:r w:rsidRPr="00F02A12">
        <w:rPr>
          <w:sz w:val="20"/>
          <w:szCs w:val="20"/>
        </w:rPr>
        <w:fldChar w:fldCharType="end"/>
      </w:r>
      <w:r w:rsidRPr="00F02A12">
        <w:rPr>
          <w:sz w:val="20"/>
          <w:szCs w:val="20"/>
          <w:lang w:val="en-US"/>
        </w:rPr>
        <w:t xml:space="preserve">; Claire Hill &amp; Richard Painter, </w:t>
      </w:r>
      <w:proofErr w:type="spellStart"/>
      <w:r w:rsidRPr="00F02A12">
        <w:rPr>
          <w:i/>
          <w:sz w:val="20"/>
          <w:szCs w:val="20"/>
          <w:lang w:val="en-US"/>
        </w:rPr>
        <w:t>Berle’s</w:t>
      </w:r>
      <w:proofErr w:type="spellEnd"/>
      <w:r w:rsidRPr="00F02A12">
        <w:rPr>
          <w:i/>
          <w:sz w:val="20"/>
          <w:szCs w:val="20"/>
          <w:lang w:val="en-US"/>
        </w:rPr>
        <w:t xml:space="preserve"> Vision Beyond Shareholder Interests: Why Investment Bankers Should Have (Some) Personal Liability</w:t>
      </w:r>
      <w:r w:rsidRPr="00F02A12">
        <w:rPr>
          <w:sz w:val="20"/>
          <w:szCs w:val="20"/>
          <w:lang w:val="en-US"/>
        </w:rPr>
        <w:t>, 33</w:t>
      </w:r>
      <w:r w:rsidRPr="00F02A12">
        <w:rPr>
          <w:smallCaps/>
          <w:sz w:val="20"/>
          <w:szCs w:val="20"/>
          <w:lang w:val="en-US"/>
        </w:rPr>
        <w:t xml:space="preserve"> Seattle U. L. Rev. </w:t>
      </w:r>
      <w:r w:rsidRPr="00F02A12">
        <w:rPr>
          <w:sz w:val="20"/>
          <w:szCs w:val="20"/>
          <w:lang w:val="en-US"/>
        </w:rPr>
        <w:t>1173 (2010).</w:t>
      </w:r>
      <w:proofErr w:type="gramEnd"/>
      <w:r w:rsidRPr="00F02A12">
        <w:rPr>
          <w:sz w:val="20"/>
          <w:szCs w:val="20"/>
          <w:lang w:val="en-US"/>
        </w:rPr>
        <w:t xml:space="preserve"> </w:t>
      </w:r>
    </w:p>
  </w:footnote>
  <w:footnote w:id="21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See supra </w:t>
      </w:r>
      <w:r w:rsidRPr="00F02A12">
        <w:rPr>
          <w:sz w:val="20"/>
          <w:szCs w:val="20"/>
        </w:rPr>
        <w:t xml:space="preserve">notes __ and accompanying text. </w:t>
      </w:r>
    </w:p>
  </w:footnote>
  <w:footnote w:id="214">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lang w:val="pt-BR"/>
        </w:rPr>
        <w:t xml:space="preserve"> Franco &amp; </w:t>
      </w:r>
      <w:proofErr w:type="spellStart"/>
      <w:r w:rsidRPr="00F02A12">
        <w:rPr>
          <w:sz w:val="20"/>
          <w:szCs w:val="20"/>
          <w:lang w:val="pt-BR"/>
        </w:rPr>
        <w:t>Rosman</w:t>
      </w:r>
      <w:proofErr w:type="spellEnd"/>
      <w:r w:rsidRPr="00F02A12">
        <w:rPr>
          <w:sz w:val="20"/>
          <w:szCs w:val="20"/>
          <w:lang w:val="pt-BR"/>
        </w:rPr>
        <w:t xml:space="preserve">, </w:t>
      </w:r>
      <w:r w:rsidRPr="00F02A12">
        <w:rPr>
          <w:i/>
          <w:sz w:val="20"/>
          <w:szCs w:val="20"/>
          <w:lang w:val="pt-BR"/>
        </w:rPr>
        <w:t xml:space="preserve">supra </w:t>
      </w:r>
      <w:r w:rsidRPr="00F02A12">
        <w:rPr>
          <w:sz w:val="20"/>
          <w:szCs w:val="20"/>
          <w:lang w:val="pt-BR"/>
        </w:rPr>
        <w:t xml:space="preserve">note </w:t>
      </w:r>
      <w:r w:rsidRPr="00F02A12">
        <w:rPr>
          <w:sz w:val="20"/>
          <w:szCs w:val="20"/>
        </w:rPr>
        <w:fldChar w:fldCharType="begin"/>
      </w:r>
      <w:r w:rsidRPr="00F02A12">
        <w:rPr>
          <w:sz w:val="20"/>
          <w:szCs w:val="20"/>
          <w:lang w:val="pt-BR"/>
        </w:rPr>
        <w:instrText xml:space="preserve"> NOTEREF _Ref454958917 \h  \* MERGEFORMAT </w:instrText>
      </w:r>
      <w:r w:rsidRPr="00F02A12">
        <w:rPr>
          <w:sz w:val="20"/>
          <w:szCs w:val="20"/>
        </w:rPr>
      </w:r>
      <w:r w:rsidRPr="00F02A12">
        <w:rPr>
          <w:sz w:val="20"/>
          <w:szCs w:val="20"/>
        </w:rPr>
        <w:fldChar w:fldCharType="separate"/>
      </w:r>
      <w:r>
        <w:rPr>
          <w:sz w:val="20"/>
          <w:szCs w:val="20"/>
          <w:lang w:val="pt-BR"/>
        </w:rPr>
        <w:t>112</w:t>
      </w:r>
      <w:r w:rsidRPr="00F02A12">
        <w:rPr>
          <w:sz w:val="20"/>
          <w:szCs w:val="20"/>
        </w:rPr>
        <w:fldChar w:fldCharType="end"/>
      </w:r>
      <w:r w:rsidRPr="00F02A12">
        <w:rPr>
          <w:sz w:val="20"/>
          <w:szCs w:val="20"/>
          <w:lang w:val="pt-BR"/>
        </w:rPr>
        <w:t xml:space="preserve">; </w:t>
      </w:r>
      <w:r w:rsidRPr="00F02A12">
        <w:rPr>
          <w:smallCaps/>
          <w:sz w:val="20"/>
          <w:szCs w:val="20"/>
          <w:lang w:val="pt-BR"/>
        </w:rPr>
        <w:t>Franco</w:t>
      </w:r>
      <w:r w:rsidRPr="00F02A12">
        <w:rPr>
          <w:sz w:val="20"/>
          <w:szCs w:val="20"/>
          <w:lang w:val="pt-BR"/>
        </w:rPr>
        <w:t xml:space="preserve">, </w:t>
      </w:r>
      <w:r w:rsidRPr="00F02A12">
        <w:rPr>
          <w:i/>
          <w:sz w:val="20"/>
          <w:szCs w:val="20"/>
          <w:lang w:val="pt-BR"/>
        </w:rPr>
        <w:t xml:space="preserve">supra </w:t>
      </w:r>
      <w:r w:rsidRPr="00F02A12">
        <w:rPr>
          <w:sz w:val="20"/>
          <w:szCs w:val="20"/>
          <w:lang w:val="pt-BR"/>
        </w:rPr>
        <w:t xml:space="preserve">note </w:t>
      </w:r>
      <w:r w:rsidRPr="00F02A12">
        <w:rPr>
          <w:sz w:val="20"/>
          <w:szCs w:val="20"/>
          <w:lang w:val="pt-BR"/>
        </w:rPr>
        <w:fldChar w:fldCharType="begin"/>
      </w:r>
      <w:r w:rsidRPr="00F02A12">
        <w:rPr>
          <w:sz w:val="20"/>
          <w:szCs w:val="20"/>
          <w:lang w:val="pt-BR"/>
        </w:rPr>
        <w:instrText xml:space="preserve"> NOTEREF _Ref456106983 \h  \* MERGEFORMAT </w:instrText>
      </w:r>
      <w:r w:rsidRPr="00F02A12">
        <w:rPr>
          <w:sz w:val="20"/>
          <w:szCs w:val="20"/>
          <w:lang w:val="pt-BR"/>
        </w:rPr>
      </w:r>
      <w:r w:rsidRPr="00F02A12">
        <w:rPr>
          <w:sz w:val="20"/>
          <w:szCs w:val="20"/>
          <w:lang w:val="pt-BR"/>
        </w:rPr>
        <w:fldChar w:fldCharType="separate"/>
      </w:r>
      <w:r>
        <w:rPr>
          <w:sz w:val="20"/>
          <w:szCs w:val="20"/>
          <w:lang w:val="pt-BR"/>
        </w:rPr>
        <w:t>113</w:t>
      </w:r>
      <w:r w:rsidRPr="00F02A12">
        <w:rPr>
          <w:sz w:val="20"/>
          <w:szCs w:val="20"/>
          <w:lang w:val="pt-BR"/>
        </w:rPr>
        <w:fldChar w:fldCharType="end"/>
      </w:r>
      <w:r w:rsidRPr="00F02A12">
        <w:rPr>
          <w:sz w:val="20"/>
          <w:szCs w:val="20"/>
          <w:lang w:val="pt-BR"/>
        </w:rPr>
        <w:t xml:space="preserve">. </w:t>
      </w:r>
      <w:r w:rsidRPr="00F02A12">
        <w:rPr>
          <w:sz w:val="20"/>
          <w:szCs w:val="20"/>
        </w:rPr>
        <w:t xml:space="preserve">Brazilian law uses this strategy in other contexts as well. For instance, securities regulations require independent auditing firms to provide for joint and several liability of their members. CVM Instruction 308, of May 14, 1999, Art. </w:t>
      </w:r>
      <w:proofErr w:type="gramStart"/>
      <w:r w:rsidRPr="00F02A12">
        <w:rPr>
          <w:sz w:val="20"/>
          <w:szCs w:val="20"/>
        </w:rPr>
        <w:t>4</w:t>
      </w:r>
      <w:proofErr w:type="gramEnd"/>
      <w:r w:rsidRPr="00F02A12">
        <w:rPr>
          <w:sz w:val="20"/>
          <w:szCs w:val="20"/>
        </w:rPr>
        <w:t xml:space="preserve">, III.  </w:t>
      </w:r>
    </w:p>
  </w:footnote>
  <w:footnote w:id="215">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proofErr w:type="gramStart"/>
      <w:r w:rsidRPr="00F02A12">
        <w:rPr>
          <w:i/>
          <w:sz w:val="20"/>
          <w:szCs w:val="20"/>
        </w:rPr>
        <w:t xml:space="preserve">See </w:t>
      </w:r>
      <w:proofErr w:type="spellStart"/>
      <w:r w:rsidRPr="00F02A12">
        <w:rPr>
          <w:sz w:val="20"/>
          <w:szCs w:val="20"/>
        </w:rPr>
        <w:t>Christiano</w:t>
      </w:r>
      <w:proofErr w:type="spellEnd"/>
      <w:r w:rsidRPr="00F02A12">
        <w:rPr>
          <w:sz w:val="20"/>
          <w:szCs w:val="20"/>
        </w:rPr>
        <w:t xml:space="preserve"> A. Coelho, </w:t>
      </w:r>
      <w:proofErr w:type="spellStart"/>
      <w:r w:rsidRPr="00F02A12">
        <w:rPr>
          <w:sz w:val="20"/>
          <w:szCs w:val="20"/>
        </w:rPr>
        <w:t>João</w:t>
      </w:r>
      <w:proofErr w:type="spellEnd"/>
      <w:r w:rsidRPr="00F02A12">
        <w:rPr>
          <w:sz w:val="20"/>
          <w:szCs w:val="20"/>
        </w:rPr>
        <w:t xml:space="preserve"> M.P. de Mello &amp; Leonardo </w:t>
      </w:r>
      <w:proofErr w:type="spellStart"/>
      <w:r w:rsidRPr="00F02A12">
        <w:rPr>
          <w:sz w:val="20"/>
          <w:szCs w:val="20"/>
        </w:rPr>
        <w:t>Rezende</w:t>
      </w:r>
      <w:proofErr w:type="spellEnd"/>
      <w:r w:rsidRPr="00F02A12">
        <w:rPr>
          <w:sz w:val="20"/>
          <w:szCs w:val="20"/>
        </w:rPr>
        <w:t xml:space="preserve">, </w:t>
      </w:r>
      <w:r w:rsidRPr="00F02A12">
        <w:rPr>
          <w:i/>
          <w:sz w:val="20"/>
          <w:szCs w:val="20"/>
        </w:rPr>
        <w:t>Do Public Banks Compete with Private Banks?</w:t>
      </w:r>
      <w:proofErr w:type="gramEnd"/>
      <w:r w:rsidRPr="00F02A12">
        <w:rPr>
          <w:i/>
          <w:sz w:val="20"/>
          <w:szCs w:val="20"/>
        </w:rPr>
        <w:t xml:space="preserve"> </w:t>
      </w:r>
      <w:proofErr w:type="gramStart"/>
      <w:r w:rsidRPr="00F02A12">
        <w:rPr>
          <w:i/>
          <w:sz w:val="20"/>
          <w:szCs w:val="20"/>
        </w:rPr>
        <w:t>Evidence from Concentrated Local Markets in Brazil?</w:t>
      </w:r>
      <w:r w:rsidRPr="00F02A12">
        <w:rPr>
          <w:sz w:val="20"/>
          <w:szCs w:val="20"/>
        </w:rPr>
        <w:t>, 45 J</w:t>
      </w:r>
      <w:r w:rsidRPr="00F02A12">
        <w:rPr>
          <w:smallCaps/>
          <w:sz w:val="20"/>
          <w:szCs w:val="20"/>
        </w:rPr>
        <w:t>. Money, Credit &amp; Banking</w:t>
      </w:r>
      <w:r w:rsidRPr="00F02A12">
        <w:rPr>
          <w:sz w:val="20"/>
          <w:szCs w:val="20"/>
        </w:rPr>
        <w:t xml:space="preserve"> 1581, 1583 (2013) (noting that, in 2004, the shares of deposits held in the five and three largest banks were 55.1% and 42.6%, respectively, and that markups on consumer loans amounted to staggering 48.8%);</w:t>
      </w:r>
      <w:r w:rsidRPr="00F02A12">
        <w:rPr>
          <w:i/>
          <w:sz w:val="20"/>
          <w:szCs w:val="20"/>
        </w:rPr>
        <w:t xml:space="preserve"> </w:t>
      </w:r>
      <w:r w:rsidRPr="00F02A12">
        <w:rPr>
          <w:sz w:val="20"/>
          <w:szCs w:val="20"/>
        </w:rPr>
        <w:t xml:space="preserve">Raquel de F. Oliveira et al., </w:t>
      </w:r>
      <w:r w:rsidRPr="00F02A12">
        <w:rPr>
          <w:i/>
          <w:sz w:val="20"/>
          <w:szCs w:val="20"/>
        </w:rPr>
        <w:t>Too Big to Fail Perception by Depositors: An Empirical Investigation</w:t>
      </w:r>
      <w:r w:rsidRPr="00F02A12">
        <w:rPr>
          <w:sz w:val="20"/>
          <w:szCs w:val="20"/>
        </w:rPr>
        <w:t xml:space="preserve">, Banco Central do </w:t>
      </w:r>
      <w:proofErr w:type="spellStart"/>
      <w:r w:rsidRPr="00F02A12">
        <w:rPr>
          <w:sz w:val="20"/>
          <w:szCs w:val="20"/>
        </w:rPr>
        <w:t>Brasil</w:t>
      </w:r>
      <w:proofErr w:type="spellEnd"/>
      <w:r w:rsidRPr="00F02A12">
        <w:rPr>
          <w:sz w:val="20"/>
          <w:szCs w:val="20"/>
        </w:rPr>
        <w:t xml:space="preserve"> Working Paper Series 233 (2011), </w:t>
      </w:r>
      <w:hyperlink r:id="rId11" w:history="1">
        <w:r w:rsidRPr="00F02A12">
          <w:rPr>
            <w:rStyle w:val="Hyperlink"/>
            <w:sz w:val="20"/>
            <w:szCs w:val="20"/>
          </w:rPr>
          <w:t>http://www.bcb.gov.br/pec/wps/ingl/wps233.pdf</w:t>
        </w:r>
      </w:hyperlink>
      <w:r w:rsidRPr="00F02A12">
        <w:rPr>
          <w:sz w:val="20"/>
          <w:szCs w:val="20"/>
        </w:rPr>
        <w:t>.</w:t>
      </w:r>
      <w:proofErr w:type="gramEnd"/>
      <w:r w:rsidRPr="00F02A12">
        <w:rPr>
          <w:sz w:val="20"/>
          <w:szCs w:val="20"/>
        </w:rPr>
        <w:t xml:space="preserve"> </w:t>
      </w:r>
    </w:p>
  </w:footnote>
  <w:footnote w:id="21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smallCaps/>
          <w:sz w:val="20"/>
          <w:szCs w:val="20"/>
        </w:rPr>
        <w:t>Franco</w:t>
      </w:r>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lang w:val="pt-BR"/>
        </w:rPr>
        <w:fldChar w:fldCharType="begin"/>
      </w:r>
      <w:r w:rsidRPr="00F02A12">
        <w:rPr>
          <w:sz w:val="20"/>
          <w:szCs w:val="20"/>
        </w:rPr>
        <w:instrText xml:space="preserve"> NOTEREF _Ref456106983 \h  \* MERGEFORMAT </w:instrText>
      </w:r>
      <w:r w:rsidRPr="00F02A12">
        <w:rPr>
          <w:sz w:val="20"/>
          <w:szCs w:val="20"/>
          <w:lang w:val="pt-BR"/>
        </w:rPr>
      </w:r>
      <w:r w:rsidRPr="00F02A12">
        <w:rPr>
          <w:sz w:val="20"/>
          <w:szCs w:val="20"/>
          <w:lang w:val="pt-BR"/>
        </w:rPr>
        <w:fldChar w:fldCharType="separate"/>
      </w:r>
      <w:r>
        <w:rPr>
          <w:sz w:val="20"/>
          <w:szCs w:val="20"/>
        </w:rPr>
        <w:t>113</w:t>
      </w:r>
      <w:r w:rsidRPr="00F02A12">
        <w:rPr>
          <w:sz w:val="20"/>
          <w:szCs w:val="20"/>
          <w:lang w:val="pt-BR"/>
        </w:rPr>
        <w:fldChar w:fldCharType="end"/>
      </w:r>
      <w:r w:rsidRPr="00F02A12">
        <w:rPr>
          <w:sz w:val="20"/>
          <w:szCs w:val="20"/>
        </w:rPr>
        <w:t xml:space="preserve">, at 90 (noting that Brazilian banks are among the most capitalized in the world, far exceeding the Central Bank’s requirements); Bruno Meyerhof </w:t>
      </w:r>
      <w:proofErr w:type="spellStart"/>
      <w:r w:rsidRPr="00F02A12">
        <w:rPr>
          <w:sz w:val="20"/>
          <w:szCs w:val="20"/>
        </w:rPr>
        <w:t>Salama</w:t>
      </w:r>
      <w:proofErr w:type="spellEnd"/>
      <w:r w:rsidRPr="00F02A12">
        <w:rPr>
          <w:sz w:val="20"/>
          <w:szCs w:val="20"/>
        </w:rPr>
        <w:t xml:space="preserve"> &amp; Thiago </w:t>
      </w:r>
      <w:proofErr w:type="spellStart"/>
      <w:r w:rsidRPr="00F02A12">
        <w:rPr>
          <w:sz w:val="20"/>
          <w:szCs w:val="20"/>
        </w:rPr>
        <w:t>Jabor</w:t>
      </w:r>
      <w:proofErr w:type="spellEnd"/>
      <w:r w:rsidRPr="00F02A12">
        <w:rPr>
          <w:sz w:val="20"/>
          <w:szCs w:val="20"/>
        </w:rPr>
        <w:t xml:space="preserve"> </w:t>
      </w:r>
      <w:proofErr w:type="spellStart"/>
      <w:r w:rsidRPr="00F02A12">
        <w:rPr>
          <w:sz w:val="20"/>
          <w:szCs w:val="20"/>
        </w:rPr>
        <w:t>Pinheiro</w:t>
      </w:r>
      <w:proofErr w:type="spellEnd"/>
      <w:r w:rsidRPr="00F02A12">
        <w:rPr>
          <w:sz w:val="20"/>
          <w:szCs w:val="20"/>
        </w:rPr>
        <w:t xml:space="preserve">, </w:t>
      </w:r>
      <w:r w:rsidRPr="00F02A12">
        <w:rPr>
          <w:i/>
          <w:sz w:val="20"/>
          <w:szCs w:val="20"/>
        </w:rPr>
        <w:t>Citizens versus Banks: Institutional Drivers of Financial Market Litigiousness in Brazil</w:t>
      </w:r>
      <w:r w:rsidRPr="00F02A12">
        <w:rPr>
          <w:sz w:val="20"/>
          <w:szCs w:val="20"/>
        </w:rPr>
        <w:t xml:space="preserve"> (working paper, 2013) (describing the banking industry as conservative). </w:t>
      </w:r>
    </w:p>
  </w:footnote>
  <w:footnote w:id="21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Joe Leahy, </w:t>
      </w:r>
      <w:r w:rsidRPr="00F02A12">
        <w:rPr>
          <w:i/>
          <w:sz w:val="20"/>
          <w:szCs w:val="20"/>
        </w:rPr>
        <w:t>Brazil Banks Outshine Global Rivals: Reforms over the Past 20 Years Appear to Be Paying Off for the Sector</w:t>
      </w:r>
      <w:r w:rsidRPr="00F02A12">
        <w:rPr>
          <w:sz w:val="20"/>
          <w:szCs w:val="20"/>
        </w:rPr>
        <w:t xml:space="preserve">, </w:t>
      </w:r>
      <w:r w:rsidRPr="00F02A12">
        <w:rPr>
          <w:smallCaps/>
          <w:sz w:val="20"/>
          <w:szCs w:val="20"/>
        </w:rPr>
        <w:t>Fin. Times,</w:t>
      </w:r>
      <w:r w:rsidRPr="00F02A12">
        <w:rPr>
          <w:sz w:val="20"/>
          <w:szCs w:val="20"/>
        </w:rPr>
        <w:t xml:space="preserve"> Nov. 6, 2011. </w:t>
      </w:r>
    </w:p>
  </w:footnote>
  <w:footnote w:id="21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See </w:t>
      </w:r>
      <w:r w:rsidRPr="00F02A12">
        <w:rPr>
          <w:sz w:val="20"/>
          <w:szCs w:val="20"/>
        </w:rPr>
        <w:t xml:space="preserve">notes __ </w:t>
      </w:r>
      <w:r w:rsidRPr="00F02A12">
        <w:rPr>
          <w:i/>
          <w:sz w:val="20"/>
          <w:szCs w:val="20"/>
        </w:rPr>
        <w:t xml:space="preserve">supra </w:t>
      </w:r>
      <w:r w:rsidRPr="00F02A12">
        <w:rPr>
          <w:sz w:val="20"/>
          <w:szCs w:val="20"/>
        </w:rPr>
        <w:t>and accompanying text.</w:t>
      </w:r>
    </w:p>
  </w:footnote>
  <w:footnote w:id="21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The extremely high levels of private benefits of control in Brazil suggest that this is indeed the case. </w:t>
      </w:r>
      <w:r w:rsidRPr="00F02A12">
        <w:rPr>
          <w:i/>
          <w:sz w:val="20"/>
          <w:szCs w:val="20"/>
        </w:rPr>
        <w:t xml:space="preserve">See </w:t>
      </w:r>
      <w:r w:rsidRPr="00F02A12">
        <w:rPr>
          <w:sz w:val="20"/>
          <w:szCs w:val="20"/>
        </w:rPr>
        <w:t xml:space="preserve">notes </w:t>
      </w:r>
      <w:r w:rsidRPr="00F02A12">
        <w:rPr>
          <w:sz w:val="20"/>
          <w:szCs w:val="20"/>
        </w:rPr>
        <w:fldChar w:fldCharType="begin"/>
      </w:r>
      <w:r w:rsidRPr="00F02A12">
        <w:rPr>
          <w:sz w:val="20"/>
          <w:szCs w:val="20"/>
        </w:rPr>
        <w:instrText xml:space="preserve"> NOTEREF _Ref455649313 \h  \* MERGEFORMAT </w:instrText>
      </w:r>
      <w:r w:rsidRPr="00F02A12">
        <w:rPr>
          <w:sz w:val="20"/>
          <w:szCs w:val="20"/>
        </w:rPr>
      </w:r>
      <w:r w:rsidRPr="00F02A12">
        <w:rPr>
          <w:sz w:val="20"/>
          <w:szCs w:val="20"/>
        </w:rPr>
        <w:fldChar w:fldCharType="separate"/>
      </w:r>
      <w:r>
        <w:rPr>
          <w:sz w:val="20"/>
          <w:szCs w:val="20"/>
        </w:rPr>
        <w:t>179</w:t>
      </w:r>
      <w:r w:rsidRPr="00F02A12">
        <w:rPr>
          <w:sz w:val="20"/>
          <w:szCs w:val="20"/>
        </w:rPr>
        <w:fldChar w:fldCharType="end"/>
      </w:r>
      <w:r w:rsidRPr="00F02A12">
        <w:rPr>
          <w:sz w:val="20"/>
          <w:szCs w:val="20"/>
        </w:rPr>
        <w:t>-</w:t>
      </w:r>
      <w:r w:rsidRPr="00F02A12">
        <w:rPr>
          <w:sz w:val="20"/>
          <w:szCs w:val="20"/>
        </w:rPr>
        <w:fldChar w:fldCharType="begin"/>
      </w:r>
      <w:r w:rsidRPr="00F02A12">
        <w:rPr>
          <w:sz w:val="20"/>
          <w:szCs w:val="20"/>
        </w:rPr>
        <w:instrText xml:space="preserve"> NOTEREF _Ref455649319 \h  \* MERGEFORMAT </w:instrText>
      </w:r>
      <w:r w:rsidRPr="00F02A12">
        <w:rPr>
          <w:sz w:val="20"/>
          <w:szCs w:val="20"/>
        </w:rPr>
      </w:r>
      <w:r w:rsidRPr="00F02A12">
        <w:rPr>
          <w:sz w:val="20"/>
          <w:szCs w:val="20"/>
        </w:rPr>
        <w:fldChar w:fldCharType="separate"/>
      </w:r>
      <w:r>
        <w:rPr>
          <w:sz w:val="20"/>
          <w:szCs w:val="20"/>
        </w:rPr>
        <w:t>180</w:t>
      </w:r>
      <w:r w:rsidRPr="00F02A12">
        <w:rPr>
          <w:sz w:val="20"/>
          <w:szCs w:val="20"/>
        </w:rPr>
        <w:fldChar w:fldCharType="end"/>
      </w:r>
      <w:r w:rsidRPr="00F02A12">
        <w:rPr>
          <w:sz w:val="20"/>
          <w:szCs w:val="20"/>
        </w:rPr>
        <w:t xml:space="preserve"> </w:t>
      </w:r>
      <w:r w:rsidRPr="00F02A12">
        <w:rPr>
          <w:i/>
          <w:sz w:val="20"/>
          <w:szCs w:val="20"/>
        </w:rPr>
        <w:t xml:space="preserve">supra </w:t>
      </w:r>
      <w:r w:rsidRPr="00F02A12">
        <w:rPr>
          <w:sz w:val="20"/>
          <w:szCs w:val="20"/>
        </w:rPr>
        <w:t xml:space="preserve">and accompanying text.   </w:t>
      </w:r>
    </w:p>
  </w:footnote>
  <w:footnote w:id="220">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See </w:t>
      </w:r>
      <w:r w:rsidRPr="00F02A12">
        <w:rPr>
          <w:sz w:val="20"/>
          <w:szCs w:val="20"/>
        </w:rPr>
        <w:t xml:space="preserve">World Bank Group, </w:t>
      </w:r>
      <w:r w:rsidRPr="00F02A12">
        <w:rPr>
          <w:i/>
          <w:sz w:val="20"/>
          <w:szCs w:val="20"/>
        </w:rPr>
        <w:t>Doing Business 2016</w:t>
      </w:r>
      <w:r w:rsidRPr="00F02A12">
        <w:rPr>
          <w:sz w:val="20"/>
          <w:szCs w:val="20"/>
        </w:rPr>
        <w:t xml:space="preserve">, Ease of Doing Business in Brazil, </w:t>
      </w:r>
      <w:hyperlink r:id="rId12" w:anchor="enforcing-contracts" w:history="1">
        <w:r w:rsidRPr="00F02A12">
          <w:rPr>
            <w:rStyle w:val="Hyperlink"/>
            <w:sz w:val="20"/>
            <w:szCs w:val="20"/>
          </w:rPr>
          <w:t>http://www.doingbusiness.org/data/exploreeconomies/brazil/#enforcing-contracts</w:t>
        </w:r>
      </w:hyperlink>
      <w:r w:rsidRPr="00F02A12">
        <w:rPr>
          <w:sz w:val="20"/>
          <w:szCs w:val="20"/>
        </w:rPr>
        <w:t xml:space="preserve">. </w:t>
      </w:r>
    </w:p>
  </w:footnote>
  <w:footnote w:id="22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proofErr w:type="spellStart"/>
      <w:proofErr w:type="gramStart"/>
      <w:r w:rsidRPr="00F02A12">
        <w:rPr>
          <w:sz w:val="20"/>
          <w:szCs w:val="20"/>
        </w:rPr>
        <w:t>Persio</w:t>
      </w:r>
      <w:proofErr w:type="spellEnd"/>
      <w:r w:rsidRPr="00F02A12">
        <w:rPr>
          <w:sz w:val="20"/>
          <w:szCs w:val="20"/>
        </w:rPr>
        <w:t xml:space="preserve"> </w:t>
      </w:r>
      <w:proofErr w:type="spellStart"/>
      <w:r w:rsidRPr="00F02A12">
        <w:rPr>
          <w:sz w:val="20"/>
          <w:szCs w:val="20"/>
        </w:rPr>
        <w:t>Arida</w:t>
      </w:r>
      <w:proofErr w:type="spellEnd"/>
      <w:r w:rsidRPr="00F02A12">
        <w:rPr>
          <w:sz w:val="20"/>
          <w:szCs w:val="20"/>
        </w:rPr>
        <w:t xml:space="preserve">, </w:t>
      </w:r>
      <w:proofErr w:type="spellStart"/>
      <w:r w:rsidRPr="00F02A12">
        <w:rPr>
          <w:sz w:val="20"/>
          <w:szCs w:val="20"/>
        </w:rPr>
        <w:t>Edmar</w:t>
      </w:r>
      <w:proofErr w:type="spellEnd"/>
      <w:r w:rsidRPr="00F02A12">
        <w:rPr>
          <w:sz w:val="20"/>
          <w:szCs w:val="20"/>
        </w:rPr>
        <w:t xml:space="preserve"> </w:t>
      </w:r>
      <w:proofErr w:type="spellStart"/>
      <w:r w:rsidRPr="00F02A12">
        <w:rPr>
          <w:sz w:val="20"/>
          <w:szCs w:val="20"/>
        </w:rPr>
        <w:t>Lisboa</w:t>
      </w:r>
      <w:proofErr w:type="spellEnd"/>
      <w:r w:rsidRPr="00F02A12">
        <w:rPr>
          <w:sz w:val="20"/>
          <w:szCs w:val="20"/>
        </w:rPr>
        <w:t xml:space="preserve"> Bacha &amp; André Lara-</w:t>
      </w:r>
      <w:proofErr w:type="spellStart"/>
      <w:r w:rsidRPr="00F02A12">
        <w:rPr>
          <w:sz w:val="20"/>
          <w:szCs w:val="20"/>
        </w:rPr>
        <w:t>Resende</w:t>
      </w:r>
      <w:proofErr w:type="spellEnd"/>
      <w:r w:rsidRPr="00F02A12">
        <w:rPr>
          <w:sz w:val="20"/>
          <w:szCs w:val="20"/>
        </w:rPr>
        <w:t xml:space="preserve">, </w:t>
      </w:r>
      <w:r w:rsidRPr="00F02A12">
        <w:rPr>
          <w:i/>
          <w:sz w:val="20"/>
          <w:szCs w:val="20"/>
        </w:rPr>
        <w:t xml:space="preserve">Credit, Interest, and Jurisdictional Uncertainty: </w:t>
      </w:r>
      <w:proofErr w:type="spellStart"/>
      <w:r w:rsidRPr="00F02A12">
        <w:rPr>
          <w:i/>
          <w:sz w:val="20"/>
          <w:szCs w:val="20"/>
        </w:rPr>
        <w:t>Conjuectures</w:t>
      </w:r>
      <w:proofErr w:type="spellEnd"/>
      <w:r w:rsidRPr="00F02A12">
        <w:rPr>
          <w:i/>
          <w:sz w:val="20"/>
          <w:szCs w:val="20"/>
        </w:rPr>
        <w:t xml:space="preserve"> on the Case of Brazil</w:t>
      </w:r>
      <w:r w:rsidRPr="00F02A12">
        <w:rPr>
          <w:sz w:val="20"/>
          <w:szCs w:val="20"/>
        </w:rPr>
        <w:t xml:space="preserve">, </w:t>
      </w:r>
      <w:r w:rsidRPr="00F02A12">
        <w:rPr>
          <w:i/>
          <w:sz w:val="20"/>
          <w:szCs w:val="20"/>
        </w:rPr>
        <w:t xml:space="preserve">in </w:t>
      </w:r>
      <w:r w:rsidRPr="00F02A12">
        <w:rPr>
          <w:smallCaps/>
          <w:sz w:val="20"/>
          <w:szCs w:val="20"/>
        </w:rPr>
        <w:t>Inflation Targeting and Debt: The Case of Brazil</w:t>
      </w:r>
      <w:r w:rsidRPr="00F02A12">
        <w:rPr>
          <w:sz w:val="20"/>
          <w:szCs w:val="20"/>
        </w:rPr>
        <w:t xml:space="preserve"> 271-3 (Francesco </w:t>
      </w:r>
      <w:proofErr w:type="spellStart"/>
      <w:r w:rsidRPr="00F02A12">
        <w:rPr>
          <w:sz w:val="20"/>
          <w:szCs w:val="20"/>
        </w:rPr>
        <w:t>Giavazzi</w:t>
      </w:r>
      <w:proofErr w:type="spellEnd"/>
      <w:r w:rsidRPr="00F02A12">
        <w:rPr>
          <w:sz w:val="20"/>
          <w:szCs w:val="20"/>
        </w:rPr>
        <w:t xml:space="preserve">, </w:t>
      </w:r>
      <w:proofErr w:type="spellStart"/>
      <w:r w:rsidRPr="00F02A12">
        <w:rPr>
          <w:sz w:val="20"/>
          <w:szCs w:val="20"/>
        </w:rPr>
        <w:t>Ilan</w:t>
      </w:r>
      <w:proofErr w:type="spellEnd"/>
      <w:r w:rsidRPr="00F02A12">
        <w:rPr>
          <w:sz w:val="20"/>
          <w:szCs w:val="20"/>
        </w:rPr>
        <w:t xml:space="preserve"> </w:t>
      </w:r>
      <w:proofErr w:type="spellStart"/>
      <w:r w:rsidRPr="00F02A12">
        <w:rPr>
          <w:sz w:val="20"/>
          <w:szCs w:val="20"/>
        </w:rPr>
        <w:t>Goldfajn</w:t>
      </w:r>
      <w:proofErr w:type="spellEnd"/>
      <w:r w:rsidRPr="00F02A12">
        <w:rPr>
          <w:sz w:val="20"/>
          <w:szCs w:val="20"/>
        </w:rPr>
        <w:t xml:space="preserve"> &amp; Santiago Herrera eds., 2005) (“In the Brazilian case, jurisdictional uncertainty may thus be decomposed, in its anti-creditor bias, as the risk of acts of the Prince changing the value of contracts before or at the moment of the execution and as the risk of unfavorable interpretation of the contract in case of a court ruling and as the risk of an unfavorable interpretation of the contract in case of a court ruling”).</w:t>
      </w:r>
      <w:proofErr w:type="gramEnd"/>
      <w:r w:rsidRPr="00F02A12">
        <w:rPr>
          <w:sz w:val="20"/>
          <w:szCs w:val="20"/>
        </w:rPr>
        <w:t xml:space="preserve"> According to the authors, distinguished Brazilian economists who have occupied prominent positions in government and business, this is an “an anti-creditor bias, and not an anti-business bias.” Whatever the merits of the claim of anti-creditor bias in contract enforcement, this Article shows that Brazilian courts go out of their way to favor certain creditors of “worthy” obligations through generous veil piercing. </w:t>
      </w:r>
      <w:proofErr w:type="gramStart"/>
      <w:r w:rsidRPr="00F02A12">
        <w:rPr>
          <w:sz w:val="20"/>
          <w:szCs w:val="20"/>
        </w:rPr>
        <w:t>More recent works</w:t>
      </w:r>
      <w:proofErr w:type="gramEnd"/>
      <w:r w:rsidRPr="00F02A12">
        <w:rPr>
          <w:sz w:val="20"/>
          <w:szCs w:val="20"/>
        </w:rPr>
        <w:t xml:space="preserve"> have casted doubt on the existence of this bias. </w:t>
      </w:r>
      <w:r w:rsidRPr="00F02A12">
        <w:rPr>
          <w:i/>
          <w:sz w:val="20"/>
          <w:szCs w:val="20"/>
        </w:rPr>
        <w:t>See</w:t>
      </w:r>
      <w:r w:rsidRPr="00F02A12">
        <w:rPr>
          <w:sz w:val="20"/>
          <w:szCs w:val="20"/>
        </w:rPr>
        <w:t xml:space="preserve">, </w:t>
      </w:r>
      <w:r w:rsidRPr="00F02A12">
        <w:rPr>
          <w:i/>
          <w:sz w:val="20"/>
          <w:szCs w:val="20"/>
        </w:rPr>
        <w:t>e.g.</w:t>
      </w:r>
      <w:r w:rsidRPr="00F02A12">
        <w:rPr>
          <w:sz w:val="20"/>
          <w:szCs w:val="20"/>
        </w:rPr>
        <w:t>,</w:t>
      </w:r>
      <w:r w:rsidRPr="00F02A12">
        <w:rPr>
          <w:i/>
          <w:sz w:val="20"/>
          <w:szCs w:val="20"/>
        </w:rPr>
        <w:t xml:space="preserve"> </w:t>
      </w:r>
      <w:r w:rsidRPr="00F02A12">
        <w:rPr>
          <w:sz w:val="20"/>
          <w:szCs w:val="20"/>
        </w:rPr>
        <w:t xml:space="preserve">Luciana Yeung &amp; Paulo </w:t>
      </w:r>
      <w:proofErr w:type="spellStart"/>
      <w:r w:rsidRPr="00F02A12">
        <w:rPr>
          <w:sz w:val="20"/>
          <w:szCs w:val="20"/>
        </w:rPr>
        <w:t>Furquim</w:t>
      </w:r>
      <w:proofErr w:type="spellEnd"/>
      <w:r w:rsidRPr="00F02A12">
        <w:rPr>
          <w:sz w:val="20"/>
          <w:szCs w:val="20"/>
        </w:rPr>
        <w:t xml:space="preserve"> de </w:t>
      </w:r>
      <w:proofErr w:type="spellStart"/>
      <w:r w:rsidRPr="00F02A12">
        <w:rPr>
          <w:sz w:val="20"/>
          <w:szCs w:val="20"/>
        </w:rPr>
        <w:t>Azevedo</w:t>
      </w:r>
      <w:proofErr w:type="spellEnd"/>
      <w:r w:rsidRPr="00F02A12">
        <w:rPr>
          <w:sz w:val="20"/>
          <w:szCs w:val="20"/>
        </w:rPr>
        <w:t xml:space="preserve">, </w:t>
      </w:r>
      <w:r w:rsidRPr="00F02A12">
        <w:rPr>
          <w:i/>
          <w:sz w:val="20"/>
          <w:szCs w:val="20"/>
        </w:rPr>
        <w:t>Neither Robin Hood nor King John: Testing the Anti-Creditor and Anti-Debtor Bias in Brazilian Judges</w:t>
      </w:r>
      <w:r w:rsidRPr="00F02A12">
        <w:rPr>
          <w:sz w:val="20"/>
          <w:szCs w:val="20"/>
        </w:rPr>
        <w:t xml:space="preserve"> (working paper, 2012), </w:t>
      </w:r>
      <w:hyperlink r:id="rId13" w:history="1">
        <w:r w:rsidRPr="00F02A12">
          <w:rPr>
            <w:rStyle w:val="Hyperlink"/>
            <w:sz w:val="20"/>
            <w:szCs w:val="20"/>
          </w:rPr>
          <w:t>http://ssrn.com/abstract=2096996</w:t>
        </w:r>
      </w:hyperlink>
      <w:r w:rsidRPr="00F02A12">
        <w:rPr>
          <w:sz w:val="20"/>
          <w:szCs w:val="20"/>
        </w:rPr>
        <w:t xml:space="preserve"> (showing that the data suggests that decisions by Brazilian courts can be unpredictable, but do not seem plagued by judicial bias).</w:t>
      </w:r>
    </w:p>
  </w:footnote>
  <w:footnote w:id="222">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See </w:t>
      </w:r>
      <w:r w:rsidRPr="00F02A12">
        <w:rPr>
          <w:sz w:val="20"/>
          <w:szCs w:val="20"/>
        </w:rPr>
        <w:t xml:space="preserve">Mauricio </w:t>
      </w:r>
      <w:proofErr w:type="spellStart"/>
      <w:r w:rsidRPr="00F02A12">
        <w:rPr>
          <w:sz w:val="20"/>
          <w:szCs w:val="20"/>
        </w:rPr>
        <w:t>Jara-Bertin</w:t>
      </w:r>
      <w:proofErr w:type="spellEnd"/>
      <w:r w:rsidRPr="00F02A12">
        <w:rPr>
          <w:sz w:val="20"/>
          <w:szCs w:val="20"/>
        </w:rPr>
        <w:t xml:space="preserve">, </w:t>
      </w:r>
      <w:proofErr w:type="spellStart"/>
      <w:r w:rsidRPr="00F02A12">
        <w:rPr>
          <w:sz w:val="20"/>
          <w:szCs w:val="20"/>
        </w:rPr>
        <w:t>Sérgio</w:t>
      </w:r>
      <w:proofErr w:type="spellEnd"/>
      <w:r w:rsidRPr="00F02A12">
        <w:rPr>
          <w:sz w:val="20"/>
          <w:szCs w:val="20"/>
        </w:rPr>
        <w:t xml:space="preserve"> G. </w:t>
      </w:r>
      <w:proofErr w:type="spellStart"/>
      <w:r w:rsidRPr="00F02A12">
        <w:rPr>
          <w:sz w:val="20"/>
          <w:szCs w:val="20"/>
        </w:rPr>
        <w:t>Lazzarini</w:t>
      </w:r>
      <w:proofErr w:type="spellEnd"/>
      <w:r w:rsidRPr="00F02A12">
        <w:rPr>
          <w:sz w:val="20"/>
          <w:szCs w:val="20"/>
        </w:rPr>
        <w:t xml:space="preserve">, Aldo </w:t>
      </w:r>
      <w:proofErr w:type="spellStart"/>
      <w:r w:rsidRPr="00F02A12">
        <w:rPr>
          <w:sz w:val="20"/>
          <w:szCs w:val="20"/>
        </w:rPr>
        <w:t>Musacchio</w:t>
      </w:r>
      <w:proofErr w:type="spellEnd"/>
      <w:r w:rsidRPr="00F02A12">
        <w:rPr>
          <w:sz w:val="20"/>
          <w:szCs w:val="20"/>
        </w:rPr>
        <w:t xml:space="preserve"> &amp; Andres Rodrigo </w:t>
      </w:r>
      <w:proofErr w:type="gramStart"/>
      <w:r w:rsidRPr="00F02A12">
        <w:rPr>
          <w:sz w:val="20"/>
          <w:szCs w:val="20"/>
        </w:rPr>
        <w:t>Wagner,</w:t>
      </w:r>
      <w:proofErr w:type="gramEnd"/>
      <w:r w:rsidRPr="00F02A12">
        <w:rPr>
          <w:sz w:val="20"/>
          <w:szCs w:val="20"/>
        </w:rPr>
        <w:t xml:space="preserve"> </w:t>
      </w:r>
      <w:r w:rsidRPr="00F02A12">
        <w:rPr>
          <w:i/>
          <w:sz w:val="20"/>
          <w:szCs w:val="20"/>
        </w:rPr>
        <w:t>Does the Bond Market Discipline State Owned Enterprises?</w:t>
      </w:r>
      <w:r w:rsidRPr="00F02A12">
        <w:rPr>
          <w:sz w:val="20"/>
          <w:szCs w:val="20"/>
        </w:rPr>
        <w:t xml:space="preserve"> (working paper, 2016), </w:t>
      </w:r>
      <w:hyperlink r:id="rId14" w:history="1">
        <w:r w:rsidRPr="00F02A12">
          <w:rPr>
            <w:rStyle w:val="Hyperlink"/>
            <w:sz w:val="20"/>
            <w:szCs w:val="20"/>
          </w:rPr>
          <w:t>http://ssrn.com/abstract=2670899</w:t>
        </w:r>
      </w:hyperlink>
      <w:r w:rsidRPr="00F02A12">
        <w:rPr>
          <w:sz w:val="20"/>
          <w:szCs w:val="20"/>
        </w:rPr>
        <w:t xml:space="preserve"> (finding that SOEs have access to more favorable financing terms due to expectations of an implicit guarantee). </w:t>
      </w:r>
    </w:p>
  </w:footnote>
  <w:footnote w:id="22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For historical evidence, </w:t>
      </w:r>
      <w:proofErr w:type="gramStart"/>
      <w:r w:rsidRPr="00F02A12">
        <w:rPr>
          <w:i/>
          <w:sz w:val="20"/>
          <w:szCs w:val="20"/>
        </w:rPr>
        <w:t xml:space="preserve">see </w:t>
      </w:r>
      <w:proofErr w:type="spellStart"/>
      <w:r w:rsidRPr="00F02A12">
        <w:rPr>
          <w:sz w:val="20"/>
          <w:szCs w:val="20"/>
        </w:rPr>
        <w:t>Lamoreaux</w:t>
      </w:r>
      <w:proofErr w:type="spellEnd"/>
      <w:r w:rsidRPr="00F02A12">
        <w:rPr>
          <w:sz w:val="20"/>
          <w:szCs w:val="20"/>
        </w:rPr>
        <w:t xml:space="preserve"> &amp; Rosenthal</w:t>
      </w:r>
      <w:proofErr w:type="gramEnd"/>
      <w:r w:rsidRPr="00F02A12">
        <w:rPr>
          <w:sz w:val="20"/>
          <w:szCs w:val="20"/>
        </w:rPr>
        <w:t xml:space="preserve">, </w:t>
      </w:r>
      <w:proofErr w:type="gramStart"/>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_Ref455607239 \h  \* MERGEFORMAT </w:instrText>
      </w:r>
      <w:r w:rsidRPr="00F02A12">
        <w:rPr>
          <w:sz w:val="20"/>
          <w:szCs w:val="20"/>
        </w:rPr>
      </w:r>
      <w:r w:rsidRPr="00F02A12">
        <w:rPr>
          <w:sz w:val="20"/>
          <w:szCs w:val="20"/>
        </w:rPr>
        <w:fldChar w:fldCharType="separate"/>
      </w:r>
      <w:r>
        <w:rPr>
          <w:sz w:val="20"/>
          <w:szCs w:val="20"/>
        </w:rPr>
        <w:t>39</w:t>
      </w:r>
      <w:proofErr w:type="gramEnd"/>
      <w:r w:rsidRPr="00F02A12">
        <w:rPr>
          <w:sz w:val="20"/>
          <w:szCs w:val="20"/>
        </w:rPr>
        <w:fldChar w:fldCharType="end"/>
      </w:r>
      <w:r w:rsidRPr="00F02A12">
        <w:rPr>
          <w:sz w:val="20"/>
          <w:szCs w:val="20"/>
        </w:rPr>
        <w:t xml:space="preserve">. For contemporary evidence on the different transaction structures used by the venture capital industry, </w:t>
      </w:r>
      <w:r w:rsidRPr="00F02A12">
        <w:rPr>
          <w:i/>
          <w:sz w:val="20"/>
          <w:szCs w:val="20"/>
        </w:rPr>
        <w:t xml:space="preserve">see </w:t>
      </w:r>
      <w:r w:rsidRPr="00F02A12">
        <w:rPr>
          <w:sz w:val="20"/>
          <w:szCs w:val="20"/>
        </w:rPr>
        <w:t xml:space="preserve">Kate Litvak, </w:t>
      </w:r>
      <w:r w:rsidRPr="00F02A12">
        <w:rPr>
          <w:i/>
          <w:sz w:val="20"/>
          <w:szCs w:val="20"/>
        </w:rPr>
        <w:t xml:space="preserve">Firm Governance as a </w:t>
      </w:r>
      <w:r>
        <w:rPr>
          <w:i/>
          <w:sz w:val="20"/>
          <w:szCs w:val="20"/>
        </w:rPr>
        <w:t xml:space="preserve">Determinant of Capital Lock-In </w:t>
      </w:r>
      <w:r>
        <w:rPr>
          <w:sz w:val="20"/>
          <w:szCs w:val="20"/>
        </w:rPr>
        <w:t xml:space="preserve">(working paper, </w:t>
      </w:r>
      <w:r w:rsidRPr="00F02A12">
        <w:rPr>
          <w:sz w:val="20"/>
          <w:szCs w:val="20"/>
        </w:rPr>
        <w:t xml:space="preserve">2007), at: </w:t>
      </w:r>
      <w:hyperlink r:id="rId15" w:history="1">
        <w:r w:rsidRPr="00C114B9">
          <w:rPr>
            <w:rStyle w:val="Hyperlink"/>
            <w:sz w:val="20"/>
            <w:szCs w:val="20"/>
          </w:rPr>
          <w:t>http://ssrn.com/abstract=915004</w:t>
        </w:r>
      </w:hyperlink>
      <w:r>
        <w:rPr>
          <w:sz w:val="20"/>
          <w:szCs w:val="20"/>
        </w:rPr>
        <w:t xml:space="preserve">.  </w:t>
      </w:r>
      <w:r w:rsidRPr="00F02A12">
        <w:rPr>
          <w:sz w:val="20"/>
          <w:szCs w:val="20"/>
        </w:rPr>
        <w:t xml:space="preserve"> </w:t>
      </w:r>
      <w:r>
        <w:rPr>
          <w:sz w:val="20"/>
          <w:szCs w:val="20"/>
        </w:rPr>
        <w:t xml:space="preserve"> </w:t>
      </w:r>
      <w:r w:rsidRPr="00F02A12">
        <w:rPr>
          <w:sz w:val="20"/>
          <w:szCs w:val="20"/>
        </w:rPr>
        <w:t xml:space="preserve"> </w:t>
      </w:r>
    </w:p>
  </w:footnote>
  <w:footnote w:id="224">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Rock &amp; </w:t>
      </w:r>
      <w:proofErr w:type="spellStart"/>
      <w:r w:rsidRPr="00F02A12">
        <w:rPr>
          <w:sz w:val="20"/>
          <w:szCs w:val="20"/>
        </w:rPr>
        <w:t>Wachter</w:t>
      </w:r>
      <w:proofErr w:type="spellEnd"/>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_Ref455570654 \h  \* MERGEFORMAT </w:instrText>
      </w:r>
      <w:r w:rsidRPr="00F02A12">
        <w:rPr>
          <w:sz w:val="20"/>
          <w:szCs w:val="20"/>
        </w:rPr>
      </w:r>
      <w:r w:rsidRPr="00F02A12">
        <w:rPr>
          <w:sz w:val="20"/>
          <w:szCs w:val="20"/>
        </w:rPr>
        <w:fldChar w:fldCharType="separate"/>
      </w:r>
      <w:r>
        <w:rPr>
          <w:sz w:val="20"/>
          <w:szCs w:val="20"/>
        </w:rPr>
        <w:t>32</w:t>
      </w:r>
      <w:r w:rsidRPr="00F02A12">
        <w:rPr>
          <w:sz w:val="20"/>
          <w:szCs w:val="20"/>
        </w:rPr>
        <w:fldChar w:fldCharType="end"/>
      </w:r>
      <w:r w:rsidRPr="00F02A12">
        <w:rPr>
          <w:sz w:val="20"/>
          <w:szCs w:val="20"/>
        </w:rPr>
        <w:t xml:space="preserve">, at 915. </w:t>
      </w:r>
      <w:proofErr w:type="gramStart"/>
      <w:r w:rsidRPr="00F02A12">
        <w:rPr>
          <w:sz w:val="20"/>
          <w:szCs w:val="20"/>
        </w:rPr>
        <w:t xml:space="preserve">For a similar argument conditioning the efficiency of lock-in to other forms of legal investor protection, </w:t>
      </w:r>
      <w:r w:rsidRPr="00F02A12">
        <w:rPr>
          <w:i/>
          <w:sz w:val="20"/>
          <w:szCs w:val="20"/>
        </w:rPr>
        <w:t xml:space="preserve">see </w:t>
      </w:r>
      <w:r w:rsidRPr="00F02A12">
        <w:rPr>
          <w:smallCaps/>
          <w:sz w:val="20"/>
          <w:szCs w:val="20"/>
        </w:rPr>
        <w:t xml:space="preserve">Easterbrook &amp; </w:t>
      </w:r>
      <w:proofErr w:type="spellStart"/>
      <w:r w:rsidRPr="00F02A12">
        <w:rPr>
          <w:smallCaps/>
          <w:sz w:val="20"/>
          <w:szCs w:val="20"/>
        </w:rPr>
        <w:t>Fischel</w:t>
      </w:r>
      <w:proofErr w:type="spellEnd"/>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_Ref455609061 \h  \* MERGEFORMAT </w:instrText>
      </w:r>
      <w:r w:rsidRPr="00F02A12">
        <w:rPr>
          <w:sz w:val="20"/>
          <w:szCs w:val="20"/>
        </w:rPr>
      </w:r>
      <w:r w:rsidRPr="00F02A12">
        <w:rPr>
          <w:sz w:val="20"/>
          <w:szCs w:val="20"/>
        </w:rPr>
        <w:fldChar w:fldCharType="separate"/>
      </w:r>
      <w:r>
        <w:rPr>
          <w:sz w:val="20"/>
          <w:szCs w:val="20"/>
        </w:rPr>
        <w:t>44</w:t>
      </w:r>
      <w:r w:rsidRPr="00F02A12">
        <w:rPr>
          <w:sz w:val="20"/>
          <w:szCs w:val="20"/>
        </w:rPr>
        <w:fldChar w:fldCharType="end"/>
      </w:r>
      <w:r w:rsidRPr="00F02A12">
        <w:rPr>
          <w:sz w:val="20"/>
          <w:szCs w:val="20"/>
        </w:rPr>
        <w:t>, at 241 (claiming that proposals for shareholders to be cashed out on demand “depend on the suppressed assumptions that existing law does not adequately constrain those in control from taking actions to the detriment of the minority and that allowing shareholders to force dissolution of the firm is costless.</w:t>
      </w:r>
      <w:proofErr w:type="gramEnd"/>
      <w:r w:rsidRPr="00F02A12">
        <w:rPr>
          <w:sz w:val="20"/>
          <w:szCs w:val="20"/>
        </w:rPr>
        <w:t xml:space="preserve"> Neither is accurate. (…) Other remedies such as damages for breach of fiduciary duty…. are available”). Similarly, George Triantis’s defense of legal personality as internal capital markets also presupposes that corporate laws effectively police related-party transactions. Triantis,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_Ref456098469 \h  \* MERGEFORMAT </w:instrText>
      </w:r>
      <w:r w:rsidRPr="00F02A12">
        <w:rPr>
          <w:sz w:val="20"/>
          <w:szCs w:val="20"/>
        </w:rPr>
      </w:r>
      <w:r w:rsidRPr="00F02A12">
        <w:rPr>
          <w:sz w:val="20"/>
          <w:szCs w:val="20"/>
        </w:rPr>
        <w:fldChar w:fldCharType="separate"/>
      </w:r>
      <w:r>
        <w:rPr>
          <w:sz w:val="20"/>
          <w:szCs w:val="20"/>
        </w:rPr>
        <w:t>209</w:t>
      </w:r>
      <w:r w:rsidRPr="00F02A12">
        <w:rPr>
          <w:sz w:val="20"/>
          <w:szCs w:val="20"/>
        </w:rPr>
        <w:fldChar w:fldCharType="end"/>
      </w:r>
      <w:r w:rsidRPr="00F02A12">
        <w:rPr>
          <w:sz w:val="20"/>
          <w:szCs w:val="20"/>
        </w:rPr>
        <w:t xml:space="preserve">, at 1125-6. </w:t>
      </w:r>
    </w:p>
  </w:footnote>
  <w:footnote w:id="225">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See </w:t>
      </w:r>
      <w:r w:rsidRPr="00F02A12">
        <w:rPr>
          <w:sz w:val="20"/>
          <w:szCs w:val="20"/>
        </w:rPr>
        <w:t xml:space="preserve">notes </w:t>
      </w:r>
      <w:r w:rsidRPr="00F02A12">
        <w:rPr>
          <w:sz w:val="20"/>
          <w:szCs w:val="20"/>
        </w:rPr>
        <w:fldChar w:fldCharType="begin"/>
      </w:r>
      <w:r w:rsidRPr="00F02A12">
        <w:rPr>
          <w:sz w:val="20"/>
          <w:szCs w:val="20"/>
        </w:rPr>
        <w:instrText xml:space="preserve"> NOTEREF _Ref455649313 \h  \* MERGEFORMAT </w:instrText>
      </w:r>
      <w:r w:rsidRPr="00F02A12">
        <w:rPr>
          <w:sz w:val="20"/>
          <w:szCs w:val="20"/>
        </w:rPr>
      </w:r>
      <w:r w:rsidRPr="00F02A12">
        <w:rPr>
          <w:sz w:val="20"/>
          <w:szCs w:val="20"/>
        </w:rPr>
        <w:fldChar w:fldCharType="separate"/>
      </w:r>
      <w:r>
        <w:rPr>
          <w:sz w:val="20"/>
          <w:szCs w:val="20"/>
        </w:rPr>
        <w:t>179</w:t>
      </w:r>
      <w:r w:rsidRPr="00F02A12">
        <w:rPr>
          <w:sz w:val="20"/>
          <w:szCs w:val="20"/>
        </w:rPr>
        <w:fldChar w:fldCharType="end"/>
      </w:r>
      <w:r w:rsidRPr="00F02A12">
        <w:rPr>
          <w:sz w:val="20"/>
          <w:szCs w:val="20"/>
        </w:rPr>
        <w:t>-</w:t>
      </w:r>
      <w:r w:rsidRPr="00F02A12">
        <w:rPr>
          <w:sz w:val="20"/>
          <w:szCs w:val="20"/>
        </w:rPr>
        <w:fldChar w:fldCharType="begin"/>
      </w:r>
      <w:r w:rsidRPr="00F02A12">
        <w:rPr>
          <w:sz w:val="20"/>
          <w:szCs w:val="20"/>
        </w:rPr>
        <w:instrText xml:space="preserve"> NOTEREF _Ref455649319 \h  \* MERGEFORMAT </w:instrText>
      </w:r>
      <w:r w:rsidRPr="00F02A12">
        <w:rPr>
          <w:sz w:val="20"/>
          <w:szCs w:val="20"/>
        </w:rPr>
      </w:r>
      <w:r w:rsidRPr="00F02A12">
        <w:rPr>
          <w:sz w:val="20"/>
          <w:szCs w:val="20"/>
        </w:rPr>
        <w:fldChar w:fldCharType="separate"/>
      </w:r>
      <w:r>
        <w:rPr>
          <w:sz w:val="20"/>
          <w:szCs w:val="20"/>
        </w:rPr>
        <w:t>180</w:t>
      </w:r>
      <w:r w:rsidRPr="00F02A12">
        <w:rPr>
          <w:sz w:val="20"/>
          <w:szCs w:val="20"/>
        </w:rPr>
        <w:fldChar w:fldCharType="end"/>
      </w:r>
      <w:r w:rsidRPr="00F02A12">
        <w:rPr>
          <w:sz w:val="20"/>
          <w:szCs w:val="20"/>
        </w:rPr>
        <w:t xml:space="preserve"> </w:t>
      </w:r>
      <w:r w:rsidRPr="00F02A12">
        <w:rPr>
          <w:i/>
          <w:sz w:val="20"/>
          <w:szCs w:val="20"/>
        </w:rPr>
        <w:t>supra and accompanying text.</w:t>
      </w:r>
    </w:p>
  </w:footnote>
  <w:footnote w:id="22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In 2012, the withdrawing shareholders lost their appeal in a claim for inspection of books and records, on their basis that they had their lost their shareholder status with the award of the partial dissolution. Their credit right with respect to the value of their shares was still under debate in a separate lawsuit. </w:t>
      </w:r>
      <w:r w:rsidRPr="00F02A12">
        <w:rPr>
          <w:i/>
          <w:sz w:val="20"/>
          <w:szCs w:val="20"/>
        </w:rPr>
        <w:t xml:space="preserve">See </w:t>
      </w:r>
      <w:r w:rsidRPr="00F02A12">
        <w:rPr>
          <w:sz w:val="20"/>
          <w:szCs w:val="20"/>
        </w:rPr>
        <w:t xml:space="preserve">TJSP, AI 938.470-1, Rel. Des. Vicente </w:t>
      </w:r>
      <w:proofErr w:type="gramStart"/>
      <w:r w:rsidRPr="00F02A12">
        <w:rPr>
          <w:sz w:val="20"/>
          <w:szCs w:val="20"/>
        </w:rPr>
        <w:t>del</w:t>
      </w:r>
      <w:proofErr w:type="gramEnd"/>
      <w:r w:rsidRPr="00F02A12">
        <w:rPr>
          <w:sz w:val="20"/>
          <w:szCs w:val="20"/>
        </w:rPr>
        <w:t xml:space="preserve"> </w:t>
      </w:r>
      <w:proofErr w:type="spellStart"/>
      <w:r w:rsidRPr="00F02A12">
        <w:rPr>
          <w:sz w:val="20"/>
          <w:szCs w:val="20"/>
        </w:rPr>
        <w:t>Prete</w:t>
      </w:r>
      <w:proofErr w:type="spellEnd"/>
      <w:r w:rsidRPr="00F02A12">
        <w:rPr>
          <w:sz w:val="20"/>
          <w:szCs w:val="20"/>
        </w:rPr>
        <w:t xml:space="preserve"> </w:t>
      </w:r>
      <w:proofErr w:type="spellStart"/>
      <w:r w:rsidRPr="00F02A12">
        <w:rPr>
          <w:sz w:val="20"/>
          <w:szCs w:val="20"/>
        </w:rPr>
        <w:t>Misurelli</w:t>
      </w:r>
      <w:proofErr w:type="spellEnd"/>
      <w:r w:rsidRPr="00F02A12">
        <w:rPr>
          <w:sz w:val="20"/>
          <w:szCs w:val="20"/>
        </w:rPr>
        <w:t xml:space="preserve">, J. July 24, 2012. </w:t>
      </w:r>
    </w:p>
  </w:footnote>
  <w:footnote w:id="22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See </w:t>
      </w:r>
      <w:r w:rsidRPr="00F02A12">
        <w:rPr>
          <w:sz w:val="20"/>
          <w:szCs w:val="20"/>
        </w:rPr>
        <w:t>Lynn A. Stout,</w:t>
      </w:r>
      <w:r w:rsidRPr="00F02A12">
        <w:rPr>
          <w:i/>
          <w:sz w:val="20"/>
          <w:szCs w:val="20"/>
        </w:rPr>
        <w:t xml:space="preserve"> The Corporation as Time Machine: Intergenerational Equity, Intergenerational Efficiency and the Corporate Form</w:t>
      </w:r>
      <w:r w:rsidRPr="00F02A12">
        <w:rPr>
          <w:sz w:val="20"/>
          <w:szCs w:val="20"/>
        </w:rPr>
        <w:t xml:space="preserve">, </w:t>
      </w:r>
      <w:r w:rsidRPr="00F02A12">
        <w:rPr>
          <w:smallCaps/>
          <w:sz w:val="20"/>
          <w:szCs w:val="20"/>
        </w:rPr>
        <w:t>38 Seattle U. L. Rev. 685</w:t>
      </w:r>
      <w:r w:rsidRPr="00F02A12">
        <w:rPr>
          <w:sz w:val="20"/>
          <w:szCs w:val="20"/>
        </w:rPr>
        <w:t xml:space="preserve"> (2016) (“it is much harder to lock assets into a company that has controlling shareholders”). In fact, the rise of partial dissolutions can be understood as promoting symmetry and equal treatment, that is, extending to minority shareholders a right that controlling shareholders already enjoy. However, the right to liquidate the firm by majority dissolution or to request a partial dissolution of the corporation have different consequences for creditors, which </w:t>
      </w:r>
      <w:proofErr w:type="gramStart"/>
      <w:r w:rsidRPr="00F02A12">
        <w:rPr>
          <w:sz w:val="20"/>
          <w:szCs w:val="20"/>
        </w:rPr>
        <w:t>are paid</w:t>
      </w:r>
      <w:proofErr w:type="gramEnd"/>
      <w:r w:rsidRPr="00F02A12">
        <w:rPr>
          <w:sz w:val="20"/>
          <w:szCs w:val="20"/>
        </w:rPr>
        <w:t xml:space="preserve"> first in a full dissolution but not in a partial dissolution. </w:t>
      </w:r>
    </w:p>
  </w:footnote>
  <w:footnote w:id="228">
    <w:p w:rsidR="000373FF" w:rsidRPr="00FA3194" w:rsidRDefault="000373FF" w:rsidP="00FA3194">
      <w:pPr>
        <w:pStyle w:val="Textodenotaderodap"/>
        <w:jc w:val="both"/>
        <w:rPr>
          <w:i/>
          <w:sz w:val="20"/>
          <w:szCs w:val="20"/>
        </w:rPr>
      </w:pPr>
      <w:r w:rsidRPr="00F02A12">
        <w:rPr>
          <w:rStyle w:val="Refdenotaderodap"/>
          <w:sz w:val="20"/>
          <w:szCs w:val="20"/>
        </w:rPr>
        <w:footnoteRef/>
      </w:r>
      <w:r w:rsidRPr="00F02A12">
        <w:rPr>
          <w:sz w:val="20"/>
          <w:szCs w:val="20"/>
        </w:rPr>
        <w:t xml:space="preserve"> </w:t>
      </w:r>
      <w:r w:rsidRPr="00F02A12">
        <w:rPr>
          <w:i/>
          <w:sz w:val="20"/>
          <w:szCs w:val="20"/>
        </w:rPr>
        <w:t>Id.</w:t>
      </w:r>
      <w:r w:rsidRPr="00F02A12">
        <w:rPr>
          <w:sz w:val="20"/>
          <w:szCs w:val="20"/>
        </w:rPr>
        <w:t xml:space="preserve"> (“</w:t>
      </w:r>
      <w:r w:rsidRPr="00FA3194">
        <w:rPr>
          <w:sz w:val="20"/>
          <w:szCs w:val="20"/>
        </w:rPr>
        <w:t>Only as directors become independent of shareholders does asset lock-in become possible”).</w:t>
      </w:r>
    </w:p>
  </w:footnote>
  <w:footnote w:id="229">
    <w:p w:rsidR="000373FF" w:rsidRPr="00FA3194" w:rsidRDefault="000373FF" w:rsidP="00FA3194">
      <w:pPr>
        <w:pStyle w:val="Textodenotaderodap"/>
        <w:jc w:val="both"/>
        <w:rPr>
          <w:sz w:val="20"/>
          <w:szCs w:val="20"/>
        </w:rPr>
      </w:pPr>
      <w:r w:rsidRPr="00FA3194">
        <w:rPr>
          <w:rStyle w:val="Refdenotaderodap"/>
          <w:sz w:val="20"/>
          <w:szCs w:val="20"/>
        </w:rPr>
        <w:footnoteRef/>
      </w:r>
      <w:r w:rsidRPr="00FA3194">
        <w:rPr>
          <w:sz w:val="20"/>
          <w:szCs w:val="20"/>
        </w:rPr>
        <w:t xml:space="preserve"> </w:t>
      </w:r>
      <w:r>
        <w:rPr>
          <w:sz w:val="20"/>
          <w:szCs w:val="20"/>
        </w:rPr>
        <w:t xml:space="preserve">For a discussion of the tradeoffs involved, </w:t>
      </w:r>
      <w:r>
        <w:rPr>
          <w:i/>
          <w:sz w:val="20"/>
          <w:szCs w:val="20"/>
        </w:rPr>
        <w:t xml:space="preserve">see </w:t>
      </w:r>
      <w:r>
        <w:rPr>
          <w:sz w:val="20"/>
          <w:szCs w:val="20"/>
        </w:rPr>
        <w:t xml:space="preserve">Zohar Goshen &amp; Richard Squire, </w:t>
      </w:r>
      <w:r>
        <w:rPr>
          <w:i/>
          <w:sz w:val="20"/>
          <w:szCs w:val="20"/>
        </w:rPr>
        <w:t>Principal Costs: A New Theory for Corporate Law and Governance</w:t>
      </w:r>
      <w:r>
        <w:rPr>
          <w:sz w:val="20"/>
          <w:szCs w:val="20"/>
        </w:rPr>
        <w:t xml:space="preserve"> (working paper, 2015), </w:t>
      </w:r>
      <w:hyperlink r:id="rId16" w:history="1">
        <w:r w:rsidRPr="00C114B9">
          <w:rPr>
            <w:rStyle w:val="Hyperlink"/>
            <w:sz w:val="20"/>
            <w:szCs w:val="20"/>
          </w:rPr>
          <w:t>https://ssrn.com/abstract=2571739</w:t>
        </w:r>
      </w:hyperlink>
      <w:r>
        <w:rPr>
          <w:sz w:val="20"/>
          <w:szCs w:val="20"/>
        </w:rPr>
        <w:t xml:space="preserve">. </w:t>
      </w:r>
    </w:p>
  </w:footnote>
  <w:footnote w:id="230">
    <w:p w:rsidR="000373FF" w:rsidRPr="00F02A12" w:rsidRDefault="000373FF" w:rsidP="00F02A12">
      <w:pPr>
        <w:pStyle w:val="Textodenotaderodap"/>
        <w:jc w:val="both"/>
        <w:rPr>
          <w:sz w:val="20"/>
          <w:szCs w:val="20"/>
        </w:rPr>
      </w:pPr>
      <w:r w:rsidRPr="00FA3194">
        <w:rPr>
          <w:rStyle w:val="Refdenotaderodap"/>
          <w:sz w:val="20"/>
          <w:szCs w:val="20"/>
        </w:rPr>
        <w:footnoteRef/>
      </w:r>
      <w:r w:rsidRPr="00FA3194">
        <w:rPr>
          <w:sz w:val="20"/>
          <w:szCs w:val="20"/>
        </w:rPr>
        <w:t xml:space="preserve"> Lucian </w:t>
      </w:r>
      <w:proofErr w:type="spellStart"/>
      <w:r w:rsidRPr="00FA3194">
        <w:rPr>
          <w:sz w:val="20"/>
          <w:szCs w:val="20"/>
        </w:rPr>
        <w:t>Arye</w:t>
      </w:r>
      <w:proofErr w:type="spellEnd"/>
      <w:r w:rsidRPr="00FA3194">
        <w:rPr>
          <w:sz w:val="20"/>
          <w:szCs w:val="20"/>
        </w:rPr>
        <w:t xml:space="preserve"> </w:t>
      </w:r>
      <w:proofErr w:type="spellStart"/>
      <w:r w:rsidRPr="00FA3194">
        <w:rPr>
          <w:sz w:val="20"/>
          <w:szCs w:val="20"/>
        </w:rPr>
        <w:t>Bebchuk</w:t>
      </w:r>
      <w:proofErr w:type="spellEnd"/>
      <w:r w:rsidRPr="00F02A12">
        <w:rPr>
          <w:sz w:val="20"/>
          <w:szCs w:val="20"/>
        </w:rPr>
        <w:t xml:space="preserve">, </w:t>
      </w:r>
      <w:proofErr w:type="gramStart"/>
      <w:r w:rsidRPr="00F02A12">
        <w:rPr>
          <w:i/>
          <w:sz w:val="20"/>
          <w:szCs w:val="20"/>
        </w:rPr>
        <w:t>The</w:t>
      </w:r>
      <w:proofErr w:type="gramEnd"/>
      <w:r w:rsidRPr="00F02A12">
        <w:rPr>
          <w:i/>
          <w:sz w:val="20"/>
          <w:szCs w:val="20"/>
        </w:rPr>
        <w:t xml:space="preserve"> Case for Increasing Shareholder Power</w:t>
      </w:r>
      <w:r w:rsidRPr="00F02A12">
        <w:rPr>
          <w:sz w:val="20"/>
          <w:szCs w:val="20"/>
        </w:rPr>
        <w:t xml:space="preserve">, 118 </w:t>
      </w:r>
      <w:proofErr w:type="spellStart"/>
      <w:r w:rsidRPr="00F02A12">
        <w:rPr>
          <w:smallCaps/>
          <w:sz w:val="20"/>
          <w:szCs w:val="20"/>
        </w:rPr>
        <w:t>Harv</w:t>
      </w:r>
      <w:proofErr w:type="spellEnd"/>
      <w:r w:rsidRPr="00F02A12">
        <w:rPr>
          <w:smallCaps/>
          <w:sz w:val="20"/>
          <w:szCs w:val="20"/>
        </w:rPr>
        <w:t>. L. Rev</w:t>
      </w:r>
      <w:r w:rsidRPr="00F02A12">
        <w:rPr>
          <w:sz w:val="20"/>
          <w:szCs w:val="20"/>
        </w:rPr>
        <w:t>. 833 (2005).</w:t>
      </w:r>
    </w:p>
  </w:footnote>
  <w:footnote w:id="23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LSA, Art. </w:t>
      </w:r>
      <w:proofErr w:type="gramStart"/>
      <w:r w:rsidRPr="00F02A12">
        <w:rPr>
          <w:sz w:val="20"/>
          <w:szCs w:val="20"/>
        </w:rPr>
        <w:t>36</w:t>
      </w:r>
      <w:proofErr w:type="gramEnd"/>
      <w:r w:rsidRPr="00F02A12">
        <w:rPr>
          <w:sz w:val="20"/>
          <w:szCs w:val="20"/>
        </w:rPr>
        <w:t>, which only permits close corporations to adopt supermajority approval requirements for shareholder decisions.</w:t>
      </w:r>
    </w:p>
  </w:footnote>
  <w:footnote w:id="232">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mallCaps/>
          <w:sz w:val="20"/>
          <w:szCs w:val="20"/>
        </w:rPr>
        <w:t>S</w:t>
      </w:r>
      <w:r w:rsidRPr="00F02A12">
        <w:rPr>
          <w:i/>
          <w:sz w:val="20"/>
          <w:szCs w:val="20"/>
        </w:rPr>
        <w:t>ee</w:t>
      </w:r>
      <w:r w:rsidRPr="00F02A12">
        <w:rPr>
          <w:i/>
          <w:smallCaps/>
          <w:sz w:val="20"/>
          <w:szCs w:val="20"/>
        </w:rPr>
        <w:t xml:space="preserve"> </w:t>
      </w:r>
      <w:r w:rsidRPr="00F02A12">
        <w:rPr>
          <w:smallCaps/>
          <w:sz w:val="20"/>
          <w:szCs w:val="20"/>
        </w:rPr>
        <w:t xml:space="preserve">OECD Guidelines on Corporate Governance of State-Owned Enterprises </w:t>
      </w:r>
      <w:r w:rsidRPr="00F02A12">
        <w:rPr>
          <w:sz w:val="20"/>
          <w:szCs w:val="20"/>
        </w:rPr>
        <w:t>(2015).</w:t>
      </w:r>
    </w:p>
  </w:footnote>
  <w:footnote w:id="23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For a discussion of these mechanisms, </w:t>
      </w:r>
      <w:r w:rsidRPr="00F02A12">
        <w:rPr>
          <w:i/>
          <w:sz w:val="20"/>
          <w:szCs w:val="20"/>
        </w:rPr>
        <w:t xml:space="preserve">see </w:t>
      </w:r>
      <w:r w:rsidRPr="00F02A12">
        <w:rPr>
          <w:sz w:val="20"/>
          <w:szCs w:val="20"/>
        </w:rPr>
        <w:t xml:space="preserve">Paul Davis et al., </w:t>
      </w:r>
      <w:r w:rsidRPr="00F02A12">
        <w:rPr>
          <w:i/>
          <w:sz w:val="20"/>
          <w:szCs w:val="20"/>
        </w:rPr>
        <w:t>Control Transactions</w:t>
      </w:r>
      <w:r w:rsidRPr="00F02A12">
        <w:rPr>
          <w:sz w:val="20"/>
          <w:szCs w:val="20"/>
        </w:rPr>
        <w:t xml:space="preserve">, </w:t>
      </w:r>
      <w:r w:rsidRPr="00F02A12">
        <w:rPr>
          <w:i/>
          <w:sz w:val="20"/>
          <w:szCs w:val="20"/>
        </w:rPr>
        <w:t xml:space="preserve">in </w:t>
      </w:r>
      <w:r w:rsidRPr="00F02A12">
        <w:rPr>
          <w:smallCaps/>
          <w:sz w:val="20"/>
          <w:szCs w:val="20"/>
        </w:rPr>
        <w:t>Anatomy of Corporate Law</w:t>
      </w:r>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_Ref451501819 \h  \* MERGEFORMAT </w:instrText>
      </w:r>
      <w:r w:rsidRPr="00F02A12">
        <w:rPr>
          <w:sz w:val="20"/>
          <w:szCs w:val="20"/>
        </w:rPr>
      </w:r>
      <w:r w:rsidRPr="00F02A12">
        <w:rPr>
          <w:sz w:val="20"/>
          <w:szCs w:val="20"/>
        </w:rPr>
        <w:fldChar w:fldCharType="separate"/>
      </w:r>
      <w:proofErr w:type="gramStart"/>
      <w:r>
        <w:rPr>
          <w:sz w:val="20"/>
          <w:szCs w:val="20"/>
        </w:rPr>
        <w:t>1</w:t>
      </w:r>
      <w:proofErr w:type="gramEnd"/>
      <w:r w:rsidRPr="00F02A12">
        <w:rPr>
          <w:sz w:val="20"/>
          <w:szCs w:val="20"/>
        </w:rPr>
        <w:fldChar w:fldCharType="end"/>
      </w:r>
      <w:r w:rsidRPr="00F02A12">
        <w:rPr>
          <w:sz w:val="20"/>
          <w:szCs w:val="20"/>
        </w:rPr>
        <w:t>.</w:t>
      </w:r>
    </w:p>
  </w:footnote>
  <w:footnote w:id="234">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Pargendler,</w:t>
      </w:r>
      <w:r w:rsidRPr="00F02A12">
        <w:rPr>
          <w:i/>
          <w:sz w:val="20"/>
          <w:szCs w:val="20"/>
        </w:rPr>
        <w:t xml:space="preserve"> supra </w:t>
      </w:r>
      <w:r w:rsidRPr="00F02A12">
        <w:rPr>
          <w:sz w:val="20"/>
          <w:szCs w:val="20"/>
        </w:rPr>
        <w:t xml:space="preserve">note </w:t>
      </w:r>
      <w:r w:rsidRPr="00F02A12">
        <w:rPr>
          <w:sz w:val="20"/>
          <w:szCs w:val="20"/>
        </w:rPr>
        <w:fldChar w:fldCharType="begin"/>
      </w:r>
      <w:r w:rsidRPr="00F02A12">
        <w:rPr>
          <w:sz w:val="20"/>
          <w:szCs w:val="20"/>
        </w:rPr>
        <w:instrText xml:space="preserve"> NOTEREF _Ref452990875 \h  \* MERGEFORMAT </w:instrText>
      </w:r>
      <w:r w:rsidRPr="00F02A12">
        <w:rPr>
          <w:sz w:val="20"/>
          <w:szCs w:val="20"/>
        </w:rPr>
      </w:r>
      <w:r w:rsidRPr="00F02A12">
        <w:rPr>
          <w:sz w:val="20"/>
          <w:szCs w:val="20"/>
        </w:rPr>
        <w:fldChar w:fldCharType="separate"/>
      </w:r>
      <w:r>
        <w:rPr>
          <w:sz w:val="20"/>
          <w:szCs w:val="20"/>
        </w:rPr>
        <w:t>154</w:t>
      </w:r>
      <w:r w:rsidRPr="00F02A12">
        <w:rPr>
          <w:sz w:val="20"/>
          <w:szCs w:val="20"/>
        </w:rPr>
        <w:fldChar w:fldCharType="end"/>
      </w:r>
      <w:r w:rsidRPr="00F02A12">
        <w:rPr>
          <w:sz w:val="20"/>
          <w:szCs w:val="20"/>
        </w:rPr>
        <w:t>.</w:t>
      </w:r>
    </w:p>
  </w:footnote>
  <w:footnote w:id="235">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proofErr w:type="spellStart"/>
      <w:r w:rsidRPr="00F02A12">
        <w:rPr>
          <w:sz w:val="20"/>
          <w:szCs w:val="20"/>
        </w:rPr>
        <w:t>Clas</w:t>
      </w:r>
      <w:proofErr w:type="spellEnd"/>
      <w:r w:rsidRPr="00F02A12">
        <w:rPr>
          <w:sz w:val="20"/>
          <w:szCs w:val="20"/>
        </w:rPr>
        <w:t xml:space="preserve"> </w:t>
      </w:r>
      <w:proofErr w:type="spellStart"/>
      <w:r w:rsidRPr="00F02A12">
        <w:rPr>
          <w:sz w:val="20"/>
          <w:szCs w:val="20"/>
        </w:rPr>
        <w:t>Bergström</w:t>
      </w:r>
      <w:proofErr w:type="spellEnd"/>
      <w:r w:rsidRPr="00F02A12">
        <w:rPr>
          <w:sz w:val="20"/>
          <w:szCs w:val="20"/>
        </w:rPr>
        <w:t xml:space="preserve"> et al., </w:t>
      </w:r>
      <w:r w:rsidRPr="00F02A12">
        <w:rPr>
          <w:i/>
          <w:sz w:val="20"/>
          <w:szCs w:val="20"/>
        </w:rPr>
        <w:t>The Optimality of the Mandatory Bid Rule</w:t>
      </w:r>
      <w:r w:rsidRPr="00F02A12">
        <w:rPr>
          <w:sz w:val="20"/>
          <w:szCs w:val="20"/>
        </w:rPr>
        <w:t>, 13 J.L</w:t>
      </w:r>
      <w:r w:rsidRPr="00F02A12">
        <w:rPr>
          <w:smallCaps/>
          <w:sz w:val="20"/>
          <w:szCs w:val="20"/>
        </w:rPr>
        <w:t>. Econ. &amp; Org</w:t>
      </w:r>
      <w:r w:rsidRPr="00F02A12">
        <w:rPr>
          <w:sz w:val="20"/>
          <w:szCs w:val="20"/>
        </w:rPr>
        <w:t xml:space="preserve">. 433, 44748 (1997); Frank H. Easterbrook &amp; Daniel R. </w:t>
      </w:r>
      <w:proofErr w:type="spellStart"/>
      <w:r w:rsidRPr="00F02A12">
        <w:rPr>
          <w:sz w:val="20"/>
          <w:szCs w:val="20"/>
        </w:rPr>
        <w:t>Fischel</w:t>
      </w:r>
      <w:proofErr w:type="spellEnd"/>
      <w:r w:rsidRPr="00F02A12">
        <w:rPr>
          <w:sz w:val="20"/>
          <w:szCs w:val="20"/>
        </w:rPr>
        <w:t xml:space="preserve">, </w:t>
      </w:r>
      <w:r w:rsidRPr="00F02A12">
        <w:rPr>
          <w:i/>
          <w:sz w:val="20"/>
          <w:szCs w:val="20"/>
        </w:rPr>
        <w:t>Corporate Control Transactions</w:t>
      </w:r>
      <w:r w:rsidRPr="00F02A12">
        <w:rPr>
          <w:sz w:val="20"/>
          <w:szCs w:val="20"/>
        </w:rPr>
        <w:t xml:space="preserve">, 91 </w:t>
      </w:r>
      <w:r w:rsidRPr="00F02A12">
        <w:rPr>
          <w:smallCaps/>
          <w:sz w:val="20"/>
          <w:szCs w:val="20"/>
        </w:rPr>
        <w:t>Yale L</w:t>
      </w:r>
      <w:r w:rsidRPr="00F02A12">
        <w:rPr>
          <w:sz w:val="20"/>
          <w:szCs w:val="20"/>
        </w:rPr>
        <w:t xml:space="preserve">.J. 698, 716, 737 (1982); and Marcel </w:t>
      </w:r>
      <w:proofErr w:type="spellStart"/>
      <w:r w:rsidRPr="00F02A12">
        <w:rPr>
          <w:sz w:val="20"/>
          <w:szCs w:val="20"/>
        </w:rPr>
        <w:t>Kahan</w:t>
      </w:r>
      <w:proofErr w:type="spellEnd"/>
      <w:r w:rsidRPr="00F02A12">
        <w:rPr>
          <w:sz w:val="20"/>
          <w:szCs w:val="20"/>
        </w:rPr>
        <w:t xml:space="preserve">, </w:t>
      </w:r>
      <w:r w:rsidRPr="00F02A12">
        <w:rPr>
          <w:i/>
          <w:sz w:val="20"/>
          <w:szCs w:val="20"/>
        </w:rPr>
        <w:t>Sales of Corporate Control</w:t>
      </w:r>
      <w:r w:rsidRPr="00F02A12">
        <w:rPr>
          <w:sz w:val="20"/>
          <w:szCs w:val="20"/>
        </w:rPr>
        <w:t xml:space="preserve">, </w:t>
      </w:r>
      <w:proofErr w:type="gramStart"/>
      <w:r w:rsidRPr="00F02A12">
        <w:rPr>
          <w:sz w:val="20"/>
          <w:szCs w:val="20"/>
        </w:rPr>
        <w:t>9</w:t>
      </w:r>
      <w:proofErr w:type="gramEnd"/>
      <w:r w:rsidRPr="00F02A12">
        <w:rPr>
          <w:sz w:val="20"/>
          <w:szCs w:val="20"/>
        </w:rPr>
        <w:t xml:space="preserve"> J.</w:t>
      </w:r>
      <w:r w:rsidRPr="00F02A12">
        <w:rPr>
          <w:smallCaps/>
          <w:sz w:val="20"/>
          <w:szCs w:val="20"/>
        </w:rPr>
        <w:t>L. Econ. &amp; Org</w:t>
      </w:r>
      <w:r w:rsidRPr="00F02A12">
        <w:rPr>
          <w:sz w:val="20"/>
          <w:szCs w:val="20"/>
        </w:rPr>
        <w:t>. 368, 378 (1993).</w:t>
      </w:r>
    </w:p>
  </w:footnote>
  <w:footnote w:id="23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Gilson et al.,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_Ref456099748 \h  \* MERGEFORMAT </w:instrText>
      </w:r>
      <w:r w:rsidRPr="00F02A12">
        <w:rPr>
          <w:sz w:val="20"/>
          <w:szCs w:val="20"/>
        </w:rPr>
      </w:r>
      <w:r w:rsidRPr="00F02A12">
        <w:rPr>
          <w:sz w:val="20"/>
          <w:szCs w:val="20"/>
        </w:rPr>
        <w:fldChar w:fldCharType="separate"/>
      </w:r>
      <w:r>
        <w:rPr>
          <w:sz w:val="20"/>
          <w:szCs w:val="20"/>
        </w:rPr>
        <w:t>147</w:t>
      </w:r>
      <w:r w:rsidRPr="00F02A12">
        <w:rPr>
          <w:sz w:val="20"/>
          <w:szCs w:val="20"/>
        </w:rPr>
        <w:fldChar w:fldCharType="end"/>
      </w:r>
      <w:r w:rsidRPr="00F02A12">
        <w:rPr>
          <w:sz w:val="20"/>
          <w:szCs w:val="20"/>
        </w:rPr>
        <w:t>, at 491.</w:t>
      </w:r>
    </w:p>
  </w:footnote>
  <w:footnote w:id="23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On the hypothesis that controlling shareholders in developing countries serve as reputation bearers, </w:t>
      </w:r>
      <w:r w:rsidRPr="00F02A12">
        <w:rPr>
          <w:i/>
          <w:sz w:val="20"/>
          <w:szCs w:val="20"/>
        </w:rPr>
        <w:t xml:space="preserve">see </w:t>
      </w:r>
      <w:r w:rsidRPr="00F02A12">
        <w:rPr>
          <w:sz w:val="20"/>
          <w:szCs w:val="20"/>
        </w:rPr>
        <w:t xml:space="preserve">Ronald J. Gilson, </w:t>
      </w:r>
      <w:r w:rsidRPr="00F02A12">
        <w:rPr>
          <w:i/>
          <w:sz w:val="20"/>
          <w:szCs w:val="20"/>
        </w:rPr>
        <w:t>Controlling Family Shareholders in Developing Countries: Anchoring Relational Exchange</w:t>
      </w:r>
      <w:r w:rsidRPr="00F02A12">
        <w:rPr>
          <w:sz w:val="20"/>
          <w:szCs w:val="20"/>
        </w:rPr>
        <w:t xml:space="preserve">, 60 </w:t>
      </w:r>
      <w:r w:rsidRPr="00F02A12">
        <w:rPr>
          <w:smallCaps/>
          <w:sz w:val="20"/>
          <w:szCs w:val="20"/>
        </w:rPr>
        <w:t>Stan. L. Rev.</w:t>
      </w:r>
      <w:r w:rsidRPr="00F02A12">
        <w:rPr>
          <w:sz w:val="20"/>
          <w:szCs w:val="20"/>
        </w:rPr>
        <w:t xml:space="preserve"> 633 (2007). </w:t>
      </w:r>
    </w:p>
  </w:footnote>
  <w:footnote w:id="23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Id.</w:t>
      </w:r>
    </w:p>
  </w:footnote>
  <w:footnote w:id="23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In their famous defense of unlimited liability for corporate torts, </w:t>
      </w:r>
      <w:proofErr w:type="spellStart"/>
      <w:r w:rsidRPr="00F02A12">
        <w:rPr>
          <w:sz w:val="20"/>
          <w:szCs w:val="20"/>
        </w:rPr>
        <w:t>Hansmann</w:t>
      </w:r>
      <w:proofErr w:type="spellEnd"/>
      <w:r w:rsidRPr="00F02A12">
        <w:rPr>
          <w:sz w:val="20"/>
          <w:szCs w:val="20"/>
        </w:rPr>
        <w:t xml:space="preserve"> and </w:t>
      </w:r>
      <w:proofErr w:type="spellStart"/>
      <w:r w:rsidRPr="00F02A12">
        <w:rPr>
          <w:sz w:val="20"/>
          <w:szCs w:val="20"/>
        </w:rPr>
        <w:t>Kraakman</w:t>
      </w:r>
      <w:proofErr w:type="spellEnd"/>
      <w:r w:rsidRPr="00F02A12">
        <w:rPr>
          <w:sz w:val="20"/>
          <w:szCs w:val="20"/>
        </w:rPr>
        <w:t xml:space="preserve"> have proposed a system by which liability would attach to the shareholders who held shares at the time the tort claim was filed, when management became aware that such claims would be filed, or the corporation was dissolved without leaving a successor. In this system, shares </w:t>
      </w:r>
      <w:proofErr w:type="gramStart"/>
      <w:r w:rsidRPr="00F02A12">
        <w:rPr>
          <w:sz w:val="20"/>
          <w:szCs w:val="20"/>
        </w:rPr>
        <w:t>would be transferred</w:t>
      </w:r>
      <w:proofErr w:type="gramEnd"/>
      <w:r w:rsidRPr="00F02A12">
        <w:rPr>
          <w:sz w:val="20"/>
          <w:szCs w:val="20"/>
        </w:rPr>
        <w:t xml:space="preserve"> to new holders free of liability for prior acts. </w:t>
      </w:r>
      <w:proofErr w:type="spellStart"/>
      <w:r w:rsidRPr="00F02A12">
        <w:rPr>
          <w:sz w:val="20"/>
          <w:szCs w:val="20"/>
        </w:rPr>
        <w:t>Hansmann</w:t>
      </w:r>
      <w:proofErr w:type="spellEnd"/>
      <w:r w:rsidRPr="00F02A12">
        <w:rPr>
          <w:sz w:val="20"/>
          <w:szCs w:val="20"/>
        </w:rPr>
        <w:t xml:space="preserve"> &amp; </w:t>
      </w:r>
      <w:proofErr w:type="spellStart"/>
      <w:r w:rsidRPr="00F02A12">
        <w:rPr>
          <w:sz w:val="20"/>
          <w:szCs w:val="20"/>
        </w:rPr>
        <w:t>Kraakman</w:t>
      </w:r>
      <w:proofErr w:type="spellEnd"/>
      <w:r w:rsidRPr="00F02A12">
        <w:rPr>
          <w:sz w:val="20"/>
          <w:szCs w:val="20"/>
        </w:rPr>
        <w:t xml:space="preserve">,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_Ref455601928 \h  \* MERGEFORMAT </w:instrText>
      </w:r>
      <w:r w:rsidRPr="00F02A12">
        <w:rPr>
          <w:sz w:val="20"/>
          <w:szCs w:val="20"/>
        </w:rPr>
      </w:r>
      <w:r w:rsidRPr="00F02A12">
        <w:rPr>
          <w:sz w:val="20"/>
          <w:szCs w:val="20"/>
        </w:rPr>
        <w:fldChar w:fldCharType="separate"/>
      </w:r>
      <w:r>
        <w:rPr>
          <w:sz w:val="20"/>
          <w:szCs w:val="20"/>
        </w:rPr>
        <w:t>136</w:t>
      </w:r>
      <w:r w:rsidRPr="00F02A12">
        <w:rPr>
          <w:sz w:val="20"/>
          <w:szCs w:val="20"/>
        </w:rPr>
        <w:fldChar w:fldCharType="end"/>
      </w:r>
      <w:r w:rsidRPr="00F02A12">
        <w:rPr>
          <w:sz w:val="20"/>
          <w:szCs w:val="20"/>
        </w:rPr>
        <w:t xml:space="preserve">, at 1896-1898. </w:t>
      </w:r>
    </w:p>
  </w:footnote>
  <w:footnote w:id="240">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See</w:t>
      </w:r>
      <w:r w:rsidRPr="00F02A12">
        <w:rPr>
          <w:sz w:val="20"/>
          <w:szCs w:val="20"/>
        </w:rPr>
        <w:t xml:space="preserve">, </w:t>
      </w:r>
      <w:r w:rsidRPr="00F02A12">
        <w:rPr>
          <w:i/>
          <w:sz w:val="20"/>
          <w:szCs w:val="20"/>
        </w:rPr>
        <w:t>e.g.</w:t>
      </w:r>
      <w:r w:rsidRPr="00F02A12">
        <w:rPr>
          <w:sz w:val="20"/>
          <w:szCs w:val="20"/>
        </w:rPr>
        <w:t xml:space="preserve">, William L. Megginson &amp; Jeffry M. Netter, </w:t>
      </w:r>
      <w:r w:rsidRPr="00F02A12">
        <w:rPr>
          <w:i/>
          <w:sz w:val="20"/>
          <w:szCs w:val="20"/>
        </w:rPr>
        <w:t>From State to Market:  A Survey of Empirical Studies on Privatization</w:t>
      </w:r>
      <w:r w:rsidRPr="00F02A12">
        <w:rPr>
          <w:sz w:val="20"/>
          <w:szCs w:val="20"/>
        </w:rPr>
        <w:t xml:space="preserve">, 39 J. Econ. Lit. </w:t>
      </w:r>
      <w:proofErr w:type="gramStart"/>
      <w:r w:rsidRPr="00F02A12">
        <w:rPr>
          <w:sz w:val="20"/>
          <w:szCs w:val="20"/>
        </w:rPr>
        <w:t xml:space="preserve">321, 380 (2001) (concluding that “privately owned firms are more efficient and more profitable than otherwise-comparable state-owned firms”); Mary M. Shirley &amp; Patrick Walsh, Public Versus Private Ownership:  The Current State of the Debate (World Bank Policy Research, Working Paper No. 2420, 2001), available at </w:t>
      </w:r>
      <w:hyperlink r:id="rId17" w:history="1">
        <w:r w:rsidRPr="00F02A12">
          <w:rPr>
            <w:rStyle w:val="Hyperlink"/>
            <w:sz w:val="20"/>
            <w:szCs w:val="20"/>
          </w:rPr>
          <w:t>http://papers.ssrn.com/sol3/papers.cfm?abstract_id=261854</w:t>
        </w:r>
      </w:hyperlink>
      <w:r w:rsidRPr="00F02A12">
        <w:rPr>
          <w:sz w:val="20"/>
          <w:szCs w:val="20"/>
        </w:rPr>
        <w:t xml:space="preserve"> (stating that out of fifty-two studies, thirty-two conclude that private and privatized firms significantly outperform public firms, fifteen do not find a significant link between ownership and performance, and five studies conclude that public firms perform better than private firms).</w:t>
      </w:r>
      <w:proofErr w:type="gramEnd"/>
      <w:r w:rsidRPr="00F02A12">
        <w:rPr>
          <w:sz w:val="20"/>
          <w:szCs w:val="20"/>
        </w:rPr>
        <w:t xml:space="preserve">  For an economic analysis of different forms of private ownership beyond investor ownership,</w:t>
      </w:r>
      <w:r w:rsidRPr="00F02A12">
        <w:rPr>
          <w:i/>
          <w:sz w:val="20"/>
          <w:szCs w:val="20"/>
        </w:rPr>
        <w:t xml:space="preserve"> see </w:t>
      </w:r>
      <w:r w:rsidRPr="00F02A12">
        <w:rPr>
          <w:smallCaps/>
          <w:sz w:val="20"/>
          <w:szCs w:val="20"/>
        </w:rPr>
        <w:t xml:space="preserve">Henry </w:t>
      </w:r>
      <w:proofErr w:type="spellStart"/>
      <w:r w:rsidRPr="00F02A12">
        <w:rPr>
          <w:smallCaps/>
          <w:sz w:val="20"/>
          <w:szCs w:val="20"/>
        </w:rPr>
        <w:t>Hansmann</w:t>
      </w:r>
      <w:proofErr w:type="spellEnd"/>
      <w:r w:rsidRPr="00F02A12">
        <w:rPr>
          <w:smallCaps/>
          <w:sz w:val="20"/>
          <w:szCs w:val="20"/>
        </w:rPr>
        <w:t>, The Ownership of Enterprise</w:t>
      </w:r>
      <w:r w:rsidRPr="00F02A12">
        <w:rPr>
          <w:sz w:val="20"/>
          <w:szCs w:val="20"/>
        </w:rPr>
        <w:t xml:space="preserve"> (1996).</w:t>
      </w:r>
    </w:p>
  </w:footnote>
  <w:footnote w:id="241">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See</w:t>
      </w:r>
      <w:r w:rsidRPr="00F02A12">
        <w:rPr>
          <w:sz w:val="20"/>
          <w:szCs w:val="20"/>
        </w:rPr>
        <w:t xml:space="preserve">, </w:t>
      </w:r>
      <w:r w:rsidRPr="00F02A12">
        <w:rPr>
          <w:i/>
          <w:sz w:val="20"/>
          <w:szCs w:val="20"/>
        </w:rPr>
        <w:t>e.g.</w:t>
      </w:r>
      <w:r w:rsidRPr="00F02A12">
        <w:rPr>
          <w:sz w:val="20"/>
          <w:szCs w:val="20"/>
        </w:rPr>
        <w:t>, Ha-</w:t>
      </w:r>
      <w:proofErr w:type="spellStart"/>
      <w:r w:rsidRPr="00F02A12">
        <w:rPr>
          <w:sz w:val="20"/>
          <w:szCs w:val="20"/>
        </w:rPr>
        <w:t>Joon</w:t>
      </w:r>
      <w:proofErr w:type="spellEnd"/>
      <w:r w:rsidRPr="00F02A12">
        <w:rPr>
          <w:sz w:val="20"/>
          <w:szCs w:val="20"/>
        </w:rPr>
        <w:t xml:space="preserve"> Chang, Globalization, </w:t>
      </w:r>
      <w:r w:rsidRPr="00F02A12">
        <w:rPr>
          <w:smallCaps/>
          <w:sz w:val="20"/>
          <w:szCs w:val="20"/>
        </w:rPr>
        <w:t>Economic Development and the Role of the State</w:t>
      </w:r>
      <w:r w:rsidRPr="00F02A12">
        <w:rPr>
          <w:sz w:val="20"/>
          <w:szCs w:val="20"/>
        </w:rPr>
        <w:t xml:space="preserve"> (2003); Stephen Martin &amp; David Parker, </w:t>
      </w:r>
      <w:r w:rsidRPr="00F02A12">
        <w:rPr>
          <w:i/>
          <w:sz w:val="20"/>
          <w:szCs w:val="20"/>
        </w:rPr>
        <w:t xml:space="preserve">Privatization and Economic Performance </w:t>
      </w:r>
      <w:proofErr w:type="gramStart"/>
      <w:r w:rsidRPr="00F02A12">
        <w:rPr>
          <w:i/>
          <w:sz w:val="20"/>
          <w:szCs w:val="20"/>
        </w:rPr>
        <w:t>Throughout</w:t>
      </w:r>
      <w:proofErr w:type="gramEnd"/>
      <w:r w:rsidRPr="00F02A12">
        <w:rPr>
          <w:i/>
          <w:sz w:val="20"/>
          <w:szCs w:val="20"/>
        </w:rPr>
        <w:t xml:space="preserve"> the UK Business Cycle</w:t>
      </w:r>
      <w:r w:rsidRPr="00F02A12">
        <w:rPr>
          <w:sz w:val="20"/>
          <w:szCs w:val="20"/>
        </w:rPr>
        <w:t xml:space="preserve">, 16 </w:t>
      </w:r>
      <w:r w:rsidRPr="00F02A12">
        <w:rPr>
          <w:smallCaps/>
          <w:sz w:val="20"/>
          <w:szCs w:val="20"/>
        </w:rPr>
        <w:t>Managerial &amp; Decision Econ</w:t>
      </w:r>
      <w:r w:rsidRPr="00F02A12">
        <w:rPr>
          <w:sz w:val="20"/>
          <w:szCs w:val="20"/>
        </w:rPr>
        <w:t xml:space="preserve">. 225, 235–36 (1995) (finding no evidence that private ownership is inherently more efficient than state ownership). </w:t>
      </w:r>
    </w:p>
  </w:footnote>
  <w:footnote w:id="242">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See</w:t>
      </w:r>
      <w:r w:rsidRPr="00F02A12">
        <w:rPr>
          <w:sz w:val="20"/>
          <w:szCs w:val="20"/>
        </w:rPr>
        <w:t xml:space="preserve">, </w:t>
      </w:r>
      <w:r w:rsidRPr="00F02A12">
        <w:rPr>
          <w:i/>
          <w:sz w:val="20"/>
          <w:szCs w:val="20"/>
        </w:rPr>
        <w:t>e.g.</w:t>
      </w:r>
      <w:r w:rsidRPr="00F02A12">
        <w:rPr>
          <w:sz w:val="20"/>
          <w:szCs w:val="20"/>
        </w:rPr>
        <w:t xml:space="preserve">, Andrei Shleifer, </w:t>
      </w:r>
      <w:r w:rsidRPr="00F02A12">
        <w:rPr>
          <w:i/>
          <w:sz w:val="20"/>
          <w:szCs w:val="20"/>
        </w:rPr>
        <w:t>State versus Private Ownership</w:t>
      </w:r>
      <w:r w:rsidRPr="00F02A12">
        <w:rPr>
          <w:sz w:val="20"/>
          <w:szCs w:val="20"/>
        </w:rPr>
        <w:t xml:space="preserve">, J. </w:t>
      </w:r>
      <w:r w:rsidRPr="00F02A12">
        <w:rPr>
          <w:smallCaps/>
          <w:sz w:val="20"/>
          <w:szCs w:val="20"/>
        </w:rPr>
        <w:t xml:space="preserve">Econ. </w:t>
      </w:r>
      <w:proofErr w:type="spellStart"/>
      <w:r w:rsidRPr="00F02A12">
        <w:rPr>
          <w:smallCaps/>
          <w:sz w:val="20"/>
          <w:szCs w:val="20"/>
        </w:rPr>
        <w:t>Persp</w:t>
      </w:r>
      <w:proofErr w:type="spellEnd"/>
      <w:r w:rsidRPr="00F02A12">
        <w:rPr>
          <w:sz w:val="20"/>
          <w:szCs w:val="20"/>
        </w:rPr>
        <w:t>. 133, 135 (1998) (</w:t>
      </w:r>
      <w:proofErr w:type="gramStart"/>
      <w:r w:rsidRPr="00F02A12">
        <w:rPr>
          <w:sz w:val="20"/>
          <w:szCs w:val="20"/>
        </w:rPr>
        <w:t>claiming that</w:t>
      </w:r>
      <w:proofErr w:type="gramEnd"/>
      <w:r w:rsidRPr="00F02A12">
        <w:rPr>
          <w:sz w:val="20"/>
          <w:szCs w:val="20"/>
        </w:rPr>
        <w:t xml:space="preserve"> “the conditions under which government ownership is superior </w:t>
      </w:r>
      <w:r w:rsidRPr="00F02A12">
        <w:rPr>
          <w:i/>
          <w:sz w:val="20"/>
          <w:szCs w:val="20"/>
        </w:rPr>
        <w:t>in a country with good contract enforcement</w:t>
      </w:r>
      <w:r w:rsidRPr="00F02A12">
        <w:rPr>
          <w:sz w:val="20"/>
          <w:szCs w:val="20"/>
        </w:rPr>
        <w:t xml:space="preserve"> are very limited”) (emphasis added). For instance, Shleifer favors privatizations of prisons in the United States, but not in Russia. </w:t>
      </w:r>
      <w:r w:rsidRPr="00F02A12">
        <w:rPr>
          <w:i/>
          <w:sz w:val="20"/>
          <w:szCs w:val="20"/>
        </w:rPr>
        <w:t xml:space="preserve">Id. </w:t>
      </w:r>
      <w:r w:rsidRPr="00F02A12">
        <w:rPr>
          <w:sz w:val="20"/>
          <w:szCs w:val="20"/>
        </w:rPr>
        <w:t xml:space="preserve">at 144. </w:t>
      </w:r>
      <w:r w:rsidRPr="00F02A12">
        <w:rPr>
          <w:i/>
          <w:sz w:val="20"/>
          <w:szCs w:val="20"/>
        </w:rPr>
        <w:t xml:space="preserve">See also </w:t>
      </w:r>
      <w:r w:rsidRPr="00F02A12">
        <w:rPr>
          <w:sz w:val="20"/>
          <w:szCs w:val="20"/>
        </w:rPr>
        <w:t xml:space="preserve">Clifford </w:t>
      </w:r>
      <w:proofErr w:type="spellStart"/>
      <w:r w:rsidRPr="00F02A12">
        <w:rPr>
          <w:sz w:val="20"/>
          <w:szCs w:val="20"/>
        </w:rPr>
        <w:t>Zinnes</w:t>
      </w:r>
      <w:proofErr w:type="spellEnd"/>
      <w:r w:rsidRPr="00F02A12">
        <w:rPr>
          <w:sz w:val="20"/>
          <w:szCs w:val="20"/>
        </w:rPr>
        <w:t xml:space="preserve"> et al., </w:t>
      </w:r>
      <w:r w:rsidRPr="00F02A12">
        <w:rPr>
          <w:i/>
          <w:sz w:val="20"/>
          <w:szCs w:val="20"/>
        </w:rPr>
        <w:t>The Gains from Privatization in Transition Economies:  Is “Change of Ownership” Enough</w:t>
      </w:r>
      <w:proofErr w:type="gramStart"/>
      <w:r w:rsidRPr="00F02A12">
        <w:rPr>
          <w:i/>
          <w:sz w:val="20"/>
          <w:szCs w:val="20"/>
        </w:rPr>
        <w:t>?</w:t>
      </w:r>
      <w:r w:rsidRPr="00F02A12">
        <w:rPr>
          <w:sz w:val="20"/>
          <w:szCs w:val="20"/>
        </w:rPr>
        <w:t>,</w:t>
      </w:r>
      <w:proofErr w:type="gramEnd"/>
      <w:r w:rsidRPr="00F02A12">
        <w:rPr>
          <w:sz w:val="20"/>
          <w:szCs w:val="20"/>
        </w:rPr>
        <w:t xml:space="preserve"> 48 IMF Staff Papers 146, 146–48 (2001) (finding that privatization fails to produce economic performance improvements in the absence of deep institutional reforms).</w:t>
      </w:r>
    </w:p>
  </w:footnote>
  <w:footnote w:id="243">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See generally</w:t>
      </w:r>
      <w:r w:rsidRPr="00F02A12">
        <w:rPr>
          <w:sz w:val="20"/>
          <w:szCs w:val="20"/>
        </w:rPr>
        <w:t xml:space="preserve"> </w:t>
      </w:r>
      <w:r w:rsidRPr="00F02A12">
        <w:rPr>
          <w:smallCaps/>
          <w:sz w:val="20"/>
          <w:szCs w:val="20"/>
        </w:rPr>
        <w:t xml:space="preserve">Alexander </w:t>
      </w:r>
      <w:proofErr w:type="spellStart"/>
      <w:r w:rsidRPr="00F02A12">
        <w:rPr>
          <w:smallCaps/>
          <w:sz w:val="20"/>
          <w:szCs w:val="20"/>
        </w:rPr>
        <w:t>Gerschenkron</w:t>
      </w:r>
      <w:proofErr w:type="spellEnd"/>
      <w:r w:rsidRPr="00F02A12">
        <w:rPr>
          <w:smallCaps/>
          <w:sz w:val="20"/>
          <w:szCs w:val="20"/>
        </w:rPr>
        <w:t>, Economic Backwardness in Historical Perspective (1962</w:t>
      </w:r>
      <w:r w:rsidRPr="00F02A12">
        <w:rPr>
          <w:sz w:val="20"/>
          <w:szCs w:val="20"/>
        </w:rPr>
        <w:t>).</w:t>
      </w:r>
    </w:p>
  </w:footnote>
  <w:footnote w:id="244">
    <w:p w:rsidR="000373FF" w:rsidRPr="00F02A12" w:rsidRDefault="000373FF" w:rsidP="00F02A12">
      <w:pPr>
        <w:spacing w:after="0" w:line="240" w:lineRule="auto"/>
        <w:jc w:val="both"/>
        <w:rPr>
          <w:b/>
          <w:sz w:val="20"/>
          <w:szCs w:val="20"/>
        </w:rPr>
      </w:pPr>
      <w:r w:rsidRPr="00F02A12">
        <w:rPr>
          <w:rStyle w:val="Refdenotaderodap"/>
          <w:sz w:val="20"/>
          <w:szCs w:val="20"/>
        </w:rPr>
        <w:footnoteRef/>
      </w:r>
      <w:r w:rsidRPr="00F02A12">
        <w:rPr>
          <w:sz w:val="20"/>
          <w:szCs w:val="20"/>
        </w:rPr>
        <w:t xml:space="preserve"> Fernando de Holanda Barbosa Filho &amp; Samuel de Abreu Pessoa</w:t>
      </w:r>
      <w:r w:rsidRPr="00F02A12">
        <w:rPr>
          <w:i/>
          <w:sz w:val="20"/>
          <w:szCs w:val="20"/>
        </w:rPr>
        <w:t>, A Desaceleração Veio da Nova Matriz, Não do Contrato Social</w:t>
      </w:r>
      <w:r w:rsidRPr="00F02A12">
        <w:rPr>
          <w:sz w:val="20"/>
          <w:szCs w:val="20"/>
        </w:rPr>
        <w:t xml:space="preserve">, </w:t>
      </w:r>
      <w:r w:rsidRPr="00F02A12">
        <w:rPr>
          <w:i/>
          <w:sz w:val="20"/>
          <w:szCs w:val="20"/>
        </w:rPr>
        <w:t xml:space="preserve">in </w:t>
      </w:r>
      <w:r w:rsidRPr="00F02A12">
        <w:rPr>
          <w:smallCaps/>
          <w:sz w:val="20"/>
          <w:szCs w:val="20"/>
        </w:rPr>
        <w:t>Ensaios IBRE de Economia Brasileira</w:t>
      </w:r>
      <w:r w:rsidRPr="00F02A12">
        <w:rPr>
          <w:sz w:val="20"/>
          <w:szCs w:val="20"/>
        </w:rPr>
        <w:t xml:space="preserve"> – II 27 (Regis </w:t>
      </w:r>
      <w:proofErr w:type="spellStart"/>
      <w:r w:rsidRPr="00F02A12">
        <w:rPr>
          <w:sz w:val="20"/>
          <w:szCs w:val="20"/>
        </w:rPr>
        <w:t>Bonelli</w:t>
      </w:r>
      <w:proofErr w:type="spellEnd"/>
      <w:r w:rsidRPr="00F02A12">
        <w:rPr>
          <w:sz w:val="20"/>
          <w:szCs w:val="20"/>
        </w:rPr>
        <w:t xml:space="preserve"> &amp; Fernando Veloso eds., 2014). </w:t>
      </w:r>
    </w:p>
    <w:p w:rsidR="000373FF" w:rsidRPr="00F02A12" w:rsidRDefault="000373FF" w:rsidP="00F02A12">
      <w:pPr>
        <w:pStyle w:val="Textodenotaderodap"/>
        <w:jc w:val="both"/>
        <w:rPr>
          <w:sz w:val="20"/>
          <w:szCs w:val="20"/>
          <w:lang w:val="pt-BR"/>
        </w:rPr>
      </w:pPr>
    </w:p>
  </w:footnote>
  <w:footnote w:id="245">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While veil piercing per se </w:t>
      </w:r>
      <w:proofErr w:type="gramStart"/>
      <w:r w:rsidRPr="00F02A12">
        <w:rPr>
          <w:sz w:val="20"/>
          <w:szCs w:val="20"/>
        </w:rPr>
        <w:t>could be explained</w:t>
      </w:r>
      <w:proofErr w:type="gramEnd"/>
      <w:r w:rsidRPr="00F02A12">
        <w:rPr>
          <w:sz w:val="20"/>
          <w:szCs w:val="20"/>
        </w:rPr>
        <w:t xml:space="preserve"> in terms of efficiency, the imposition of joint and several liability lacks an efficiency explanation and can therefore be best understood in terms of distribution.</w:t>
      </w:r>
    </w:p>
  </w:footnote>
  <w:footnote w:id="24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See </w:t>
      </w:r>
      <w:r w:rsidRPr="00F02A12">
        <w:rPr>
          <w:sz w:val="20"/>
          <w:szCs w:val="20"/>
        </w:rPr>
        <w:t xml:space="preserve">Sergio G. </w:t>
      </w:r>
      <w:proofErr w:type="spellStart"/>
      <w:r w:rsidRPr="00F02A12">
        <w:rPr>
          <w:sz w:val="20"/>
          <w:szCs w:val="20"/>
        </w:rPr>
        <w:t>Lazzarini</w:t>
      </w:r>
      <w:proofErr w:type="spellEnd"/>
      <w:r w:rsidRPr="00F02A12">
        <w:rPr>
          <w:sz w:val="20"/>
          <w:szCs w:val="20"/>
        </w:rPr>
        <w:t xml:space="preserve"> et al., </w:t>
      </w:r>
      <w:r w:rsidRPr="00F02A12">
        <w:rPr>
          <w:i/>
          <w:sz w:val="20"/>
          <w:szCs w:val="20"/>
        </w:rPr>
        <w:t>What Do Development Banks Do? Evidence from BNDES 2002-2009</w:t>
      </w:r>
      <w:r w:rsidRPr="00F02A12">
        <w:rPr>
          <w:sz w:val="20"/>
          <w:szCs w:val="20"/>
        </w:rPr>
        <w:t xml:space="preserve"> (working paper, 2014), </w:t>
      </w:r>
      <w:hyperlink r:id="rId18" w:history="1">
        <w:r w:rsidRPr="00F02A12">
          <w:rPr>
            <w:rStyle w:val="Hyperlink"/>
            <w:sz w:val="20"/>
            <w:szCs w:val="20"/>
          </w:rPr>
          <w:t>http://ssrn.com/abstract=1969843</w:t>
        </w:r>
      </w:hyperlink>
      <w:r w:rsidRPr="00F02A12">
        <w:rPr>
          <w:sz w:val="20"/>
          <w:szCs w:val="20"/>
        </w:rPr>
        <w:t xml:space="preserve">. </w:t>
      </w:r>
    </w:p>
  </w:footnote>
  <w:footnote w:id="247">
    <w:p w:rsidR="000373FF" w:rsidRPr="00F02A12" w:rsidRDefault="000373FF" w:rsidP="00F02A12">
      <w:pPr>
        <w:spacing w:after="0" w:line="240" w:lineRule="auto"/>
        <w:jc w:val="both"/>
        <w:rPr>
          <w:sz w:val="20"/>
          <w:szCs w:val="20"/>
          <w:lang w:val="en-US"/>
        </w:rPr>
      </w:pPr>
      <w:r w:rsidRPr="00F02A12">
        <w:rPr>
          <w:rStyle w:val="Refdenotaderodap"/>
          <w:sz w:val="20"/>
          <w:szCs w:val="20"/>
        </w:rPr>
        <w:footnoteRef/>
      </w:r>
      <w:r w:rsidRPr="00F02A12">
        <w:rPr>
          <w:sz w:val="20"/>
          <w:szCs w:val="20"/>
          <w:lang w:val="en-US"/>
        </w:rPr>
        <w:t xml:space="preserve"> Courts have granted individual requests for expensive medicines and hospital beds without regard general public policies administering such scarce resources. The results have arguably been regressive, hurting the “poorest among the poor.” </w:t>
      </w:r>
      <w:r w:rsidRPr="00F02A12">
        <w:rPr>
          <w:i/>
          <w:sz w:val="20"/>
          <w:szCs w:val="20"/>
          <w:lang w:val="en-US"/>
        </w:rPr>
        <w:t xml:space="preserve">See </w:t>
      </w:r>
      <w:r w:rsidRPr="00F02A12">
        <w:rPr>
          <w:sz w:val="20"/>
          <w:szCs w:val="20"/>
          <w:lang w:val="en-US"/>
        </w:rPr>
        <w:t xml:space="preserve">Carlos Portugal </w:t>
      </w:r>
      <w:proofErr w:type="spellStart"/>
      <w:r w:rsidRPr="00F02A12">
        <w:rPr>
          <w:sz w:val="20"/>
          <w:szCs w:val="20"/>
          <w:lang w:val="en-US"/>
        </w:rPr>
        <w:t>Gouvêa</w:t>
      </w:r>
      <w:proofErr w:type="spellEnd"/>
      <w:r w:rsidRPr="00F02A12">
        <w:rPr>
          <w:sz w:val="20"/>
          <w:szCs w:val="20"/>
          <w:lang w:val="en-US"/>
        </w:rPr>
        <w:t xml:space="preserve">, </w:t>
      </w:r>
      <w:r w:rsidRPr="00F02A12">
        <w:rPr>
          <w:i/>
          <w:sz w:val="20"/>
          <w:szCs w:val="20"/>
          <w:lang w:val="en-US"/>
        </w:rPr>
        <w:t>Social Rights against the Poor</w:t>
      </w:r>
      <w:r w:rsidRPr="00F02A12">
        <w:rPr>
          <w:sz w:val="20"/>
          <w:szCs w:val="20"/>
          <w:lang w:val="en-US"/>
        </w:rPr>
        <w:t xml:space="preserve">, </w:t>
      </w:r>
      <w:proofErr w:type="gramStart"/>
      <w:r w:rsidRPr="00F02A12">
        <w:rPr>
          <w:sz w:val="20"/>
          <w:szCs w:val="20"/>
          <w:lang w:val="en-US"/>
        </w:rPr>
        <w:t>7</w:t>
      </w:r>
      <w:proofErr w:type="gramEnd"/>
      <w:r w:rsidRPr="00F02A12">
        <w:rPr>
          <w:sz w:val="20"/>
          <w:szCs w:val="20"/>
          <w:lang w:val="en-US"/>
        </w:rPr>
        <w:t xml:space="preserve"> </w:t>
      </w:r>
      <w:r w:rsidRPr="00F02A12">
        <w:rPr>
          <w:smallCaps/>
          <w:sz w:val="20"/>
          <w:szCs w:val="20"/>
          <w:lang w:val="en-US"/>
        </w:rPr>
        <w:t>Vienna J. Int’l Const</w:t>
      </w:r>
      <w:r w:rsidRPr="00F02A12">
        <w:rPr>
          <w:sz w:val="20"/>
          <w:szCs w:val="20"/>
          <w:lang w:val="en-US"/>
        </w:rPr>
        <w:t>. L. 454 (2013).</w:t>
      </w:r>
    </w:p>
  </w:footnote>
  <w:footnote w:id="24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For a similar argument, </w:t>
      </w:r>
      <w:r w:rsidRPr="00F02A12">
        <w:rPr>
          <w:i/>
          <w:sz w:val="20"/>
          <w:szCs w:val="20"/>
        </w:rPr>
        <w:t xml:space="preserve">see </w:t>
      </w:r>
      <w:proofErr w:type="gramStart"/>
      <w:r w:rsidRPr="00F02A12">
        <w:rPr>
          <w:sz w:val="20"/>
          <w:szCs w:val="20"/>
        </w:rPr>
        <w:t>Presser,</w:t>
      </w:r>
      <w:proofErr w:type="gramEnd"/>
      <w:r w:rsidRPr="00F02A12">
        <w:rPr>
          <w:i/>
          <w:sz w:val="20"/>
          <w:szCs w:val="20"/>
        </w:rPr>
        <w:t xml:space="preserve"> supra </w:t>
      </w:r>
      <w:r w:rsidRPr="00F02A12">
        <w:rPr>
          <w:sz w:val="20"/>
          <w:szCs w:val="20"/>
        </w:rPr>
        <w:t xml:space="preserve">note </w:t>
      </w:r>
      <w:r w:rsidRPr="00F02A12">
        <w:rPr>
          <w:sz w:val="20"/>
          <w:szCs w:val="20"/>
        </w:rPr>
        <w:fldChar w:fldCharType="begin"/>
      </w:r>
      <w:r w:rsidRPr="00F02A12">
        <w:rPr>
          <w:sz w:val="20"/>
          <w:szCs w:val="20"/>
        </w:rPr>
        <w:instrText xml:space="preserve"> NOTEREF _Ref456086222 \h  \* MERGEFORMAT </w:instrText>
      </w:r>
      <w:r w:rsidRPr="00F02A12">
        <w:rPr>
          <w:sz w:val="20"/>
          <w:szCs w:val="20"/>
        </w:rPr>
      </w:r>
      <w:r w:rsidRPr="00F02A12">
        <w:rPr>
          <w:sz w:val="20"/>
          <w:szCs w:val="20"/>
        </w:rPr>
        <w:fldChar w:fldCharType="separate"/>
      </w:r>
      <w:r>
        <w:rPr>
          <w:sz w:val="20"/>
          <w:szCs w:val="20"/>
        </w:rPr>
        <w:t>88</w:t>
      </w:r>
      <w:r w:rsidRPr="00F02A12">
        <w:rPr>
          <w:sz w:val="20"/>
          <w:szCs w:val="20"/>
        </w:rPr>
        <w:fldChar w:fldCharType="end"/>
      </w:r>
      <w:r w:rsidRPr="00F02A12">
        <w:rPr>
          <w:sz w:val="20"/>
          <w:szCs w:val="20"/>
        </w:rPr>
        <w:t xml:space="preserve">, at 172. </w:t>
      </w:r>
    </w:p>
  </w:footnote>
  <w:footnote w:id="249">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proofErr w:type="gramStart"/>
      <w:r w:rsidRPr="00F02A12">
        <w:rPr>
          <w:i/>
          <w:sz w:val="20"/>
          <w:szCs w:val="20"/>
        </w:rPr>
        <w:t xml:space="preserve">See </w:t>
      </w:r>
      <w:r w:rsidRPr="00F02A12">
        <w:rPr>
          <w:sz w:val="20"/>
          <w:szCs w:val="20"/>
        </w:rPr>
        <w:t>Pargendler</w:t>
      </w:r>
      <w:proofErr w:type="gramEnd"/>
      <w:r w:rsidRPr="00F02A12">
        <w:rPr>
          <w:sz w:val="20"/>
          <w:szCs w:val="20"/>
        </w:rPr>
        <w:t xml:space="preserve">, </w:t>
      </w:r>
      <w:proofErr w:type="gramStart"/>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_Ref452990875 \h  \* MERGEFORMAT </w:instrText>
      </w:r>
      <w:r w:rsidRPr="00F02A12">
        <w:rPr>
          <w:sz w:val="20"/>
          <w:szCs w:val="20"/>
        </w:rPr>
      </w:r>
      <w:r w:rsidRPr="00F02A12">
        <w:rPr>
          <w:sz w:val="20"/>
          <w:szCs w:val="20"/>
        </w:rPr>
        <w:fldChar w:fldCharType="separate"/>
      </w:r>
      <w:r>
        <w:rPr>
          <w:sz w:val="20"/>
          <w:szCs w:val="20"/>
        </w:rPr>
        <w:t>154</w:t>
      </w:r>
      <w:proofErr w:type="gramEnd"/>
      <w:r w:rsidRPr="00F02A12">
        <w:rPr>
          <w:sz w:val="20"/>
          <w:szCs w:val="20"/>
        </w:rPr>
        <w:fldChar w:fldCharType="end"/>
      </w:r>
      <w:r w:rsidRPr="00F02A12">
        <w:rPr>
          <w:sz w:val="20"/>
          <w:szCs w:val="20"/>
        </w:rPr>
        <w:t xml:space="preserve">.  </w:t>
      </w:r>
    </w:p>
  </w:footnote>
  <w:footnote w:id="250">
    <w:p w:rsidR="000373FF" w:rsidRPr="00C66361" w:rsidRDefault="000373FF" w:rsidP="00F02A12">
      <w:pPr>
        <w:pStyle w:val="Textodenotaderodap"/>
        <w:jc w:val="both"/>
        <w:rPr>
          <w:sz w:val="20"/>
          <w:szCs w:val="20"/>
        </w:rPr>
      </w:pPr>
      <w:r w:rsidRPr="00F02A12">
        <w:rPr>
          <w:rStyle w:val="Refdenotaderodap"/>
          <w:sz w:val="20"/>
          <w:szCs w:val="20"/>
        </w:rPr>
        <w:footnoteRef/>
      </w:r>
      <w:r w:rsidRPr="00BC0771">
        <w:rPr>
          <w:sz w:val="20"/>
          <w:szCs w:val="20"/>
        </w:rPr>
        <w:t xml:space="preserve"> </w:t>
      </w:r>
      <w:r w:rsidRPr="00BC0771">
        <w:rPr>
          <w:i/>
          <w:sz w:val="20"/>
          <w:szCs w:val="20"/>
        </w:rPr>
        <w:t>See</w:t>
      </w:r>
      <w:r w:rsidRPr="00BC0771">
        <w:rPr>
          <w:sz w:val="20"/>
          <w:szCs w:val="20"/>
        </w:rPr>
        <w:t xml:space="preserve">, </w:t>
      </w:r>
      <w:r w:rsidRPr="00BC0771">
        <w:rPr>
          <w:i/>
          <w:sz w:val="20"/>
          <w:szCs w:val="20"/>
        </w:rPr>
        <w:t>e.g.</w:t>
      </w:r>
      <w:r w:rsidRPr="00BC0771">
        <w:rPr>
          <w:sz w:val="20"/>
          <w:szCs w:val="20"/>
        </w:rPr>
        <w:t>,</w:t>
      </w:r>
      <w:r w:rsidRPr="00BC0771">
        <w:rPr>
          <w:i/>
          <w:sz w:val="20"/>
          <w:szCs w:val="20"/>
        </w:rPr>
        <w:t xml:space="preserve"> </w:t>
      </w:r>
      <w:r w:rsidRPr="00BC0771">
        <w:rPr>
          <w:smallCaps/>
          <w:sz w:val="20"/>
          <w:szCs w:val="20"/>
        </w:rPr>
        <w:t xml:space="preserve">José Maria </w:t>
      </w:r>
      <w:proofErr w:type="spellStart"/>
      <w:r w:rsidRPr="00BC0771">
        <w:rPr>
          <w:smallCaps/>
          <w:sz w:val="20"/>
          <w:szCs w:val="20"/>
        </w:rPr>
        <w:t>Lezcano</w:t>
      </w:r>
      <w:proofErr w:type="spellEnd"/>
      <w:r w:rsidRPr="00BC0771">
        <w:rPr>
          <w:smallCaps/>
          <w:sz w:val="20"/>
          <w:szCs w:val="20"/>
        </w:rPr>
        <w:t xml:space="preserve"> Navarro, Piercing the Corporate Veil in Latin American Jurisprudence</w:t>
      </w:r>
      <w:r w:rsidRPr="00BC0771">
        <w:rPr>
          <w:sz w:val="20"/>
          <w:szCs w:val="20"/>
        </w:rPr>
        <w:t xml:space="preserve"> (2016); </w:t>
      </w:r>
      <w:r w:rsidRPr="00BC0771">
        <w:rPr>
          <w:smallCaps/>
          <w:sz w:val="20"/>
          <w:szCs w:val="20"/>
        </w:rPr>
        <w:t>D</w:t>
      </w:r>
      <w:r w:rsidRPr="00BC0771">
        <w:rPr>
          <w:sz w:val="20"/>
          <w:szCs w:val="20"/>
        </w:rPr>
        <w:t xml:space="preserve">ante Figueroa, </w:t>
      </w:r>
      <w:r w:rsidRPr="00BC0771">
        <w:rPr>
          <w:i/>
          <w:sz w:val="20"/>
          <w:szCs w:val="20"/>
        </w:rPr>
        <w:t>Comparative Aspects of Piercing the Corporate Veil in the Unit</w:t>
      </w:r>
      <w:r w:rsidRPr="00C66361">
        <w:rPr>
          <w:i/>
          <w:sz w:val="20"/>
          <w:szCs w:val="20"/>
        </w:rPr>
        <w:t>ed States and Latin America</w:t>
      </w:r>
      <w:r w:rsidRPr="00C66361">
        <w:rPr>
          <w:sz w:val="20"/>
          <w:szCs w:val="20"/>
        </w:rPr>
        <w:t xml:space="preserve">, 50 </w:t>
      </w:r>
      <w:proofErr w:type="spellStart"/>
      <w:r w:rsidRPr="00C66361">
        <w:rPr>
          <w:smallCaps/>
          <w:sz w:val="20"/>
          <w:szCs w:val="20"/>
        </w:rPr>
        <w:t>Duq</w:t>
      </w:r>
      <w:proofErr w:type="spellEnd"/>
      <w:r w:rsidRPr="00C66361">
        <w:rPr>
          <w:smallCaps/>
          <w:sz w:val="20"/>
          <w:szCs w:val="20"/>
        </w:rPr>
        <w:t>. L. Rev</w:t>
      </w:r>
      <w:r w:rsidRPr="00C66361">
        <w:rPr>
          <w:sz w:val="20"/>
          <w:szCs w:val="20"/>
        </w:rPr>
        <w:t xml:space="preserve">. 683 (2012).  </w:t>
      </w:r>
    </w:p>
  </w:footnote>
  <w:footnote w:id="251">
    <w:p w:rsidR="000373FF" w:rsidRPr="00C66361" w:rsidRDefault="000373FF">
      <w:pPr>
        <w:pStyle w:val="Textodenotaderodap"/>
        <w:rPr>
          <w:sz w:val="20"/>
          <w:szCs w:val="20"/>
        </w:rPr>
      </w:pPr>
      <w:r w:rsidRPr="00C66361">
        <w:rPr>
          <w:rStyle w:val="Refdenotaderodap"/>
          <w:sz w:val="20"/>
          <w:szCs w:val="20"/>
        </w:rPr>
        <w:footnoteRef/>
      </w:r>
      <w:r w:rsidRPr="00C66361">
        <w:rPr>
          <w:sz w:val="20"/>
          <w:szCs w:val="20"/>
        </w:rPr>
        <w:t xml:space="preserve"> Figueroa, </w:t>
      </w:r>
      <w:r w:rsidRPr="00C66361">
        <w:rPr>
          <w:i/>
          <w:sz w:val="20"/>
          <w:szCs w:val="20"/>
        </w:rPr>
        <w:t xml:space="preserve">supra </w:t>
      </w:r>
      <w:r w:rsidRPr="00C66361">
        <w:rPr>
          <w:sz w:val="20"/>
          <w:szCs w:val="20"/>
        </w:rPr>
        <w:t xml:space="preserve">note </w:t>
      </w:r>
      <w:r w:rsidRPr="00C66361">
        <w:rPr>
          <w:sz w:val="20"/>
          <w:szCs w:val="20"/>
        </w:rPr>
        <w:fldChar w:fldCharType="begin"/>
      </w:r>
      <w:r w:rsidRPr="00C66361">
        <w:rPr>
          <w:sz w:val="20"/>
          <w:szCs w:val="20"/>
        </w:rPr>
        <w:instrText xml:space="preserve"> NOTEREF _Ref464468820 \h </w:instrText>
      </w:r>
      <w:r>
        <w:rPr>
          <w:sz w:val="20"/>
          <w:szCs w:val="20"/>
        </w:rPr>
        <w:instrText xml:space="preserve"> \* MERGEFORMAT </w:instrText>
      </w:r>
      <w:r w:rsidRPr="00C66361">
        <w:rPr>
          <w:sz w:val="20"/>
          <w:szCs w:val="20"/>
        </w:rPr>
      </w:r>
      <w:r w:rsidRPr="00C66361">
        <w:rPr>
          <w:sz w:val="20"/>
          <w:szCs w:val="20"/>
        </w:rPr>
        <w:fldChar w:fldCharType="separate"/>
      </w:r>
      <w:r>
        <w:rPr>
          <w:sz w:val="20"/>
          <w:szCs w:val="20"/>
        </w:rPr>
        <w:t>250</w:t>
      </w:r>
      <w:r w:rsidRPr="00C66361">
        <w:rPr>
          <w:sz w:val="20"/>
          <w:szCs w:val="20"/>
        </w:rPr>
        <w:fldChar w:fldCharType="end"/>
      </w:r>
      <w:r w:rsidRPr="00C66361">
        <w:rPr>
          <w:sz w:val="20"/>
          <w:szCs w:val="20"/>
        </w:rPr>
        <w:t xml:space="preserve">, at 738 and 772-5. </w:t>
      </w:r>
    </w:p>
  </w:footnote>
  <w:footnote w:id="252">
    <w:p w:rsidR="000373FF" w:rsidRPr="004B0706" w:rsidRDefault="000373FF">
      <w:pPr>
        <w:pStyle w:val="Textodenotaderodap"/>
        <w:rPr>
          <w:sz w:val="20"/>
          <w:szCs w:val="20"/>
        </w:rPr>
      </w:pPr>
      <w:r w:rsidRPr="00C66361">
        <w:rPr>
          <w:rStyle w:val="Refdenotaderodap"/>
          <w:sz w:val="20"/>
          <w:szCs w:val="20"/>
        </w:rPr>
        <w:footnoteRef/>
      </w:r>
      <w:r w:rsidRPr="004B0706">
        <w:rPr>
          <w:sz w:val="20"/>
          <w:szCs w:val="20"/>
        </w:rPr>
        <w:t xml:space="preserve"> </w:t>
      </w:r>
      <w:r w:rsidRPr="004B0706">
        <w:rPr>
          <w:smallCaps/>
          <w:sz w:val="20"/>
          <w:szCs w:val="20"/>
        </w:rPr>
        <w:t xml:space="preserve">Marco </w:t>
      </w:r>
      <w:proofErr w:type="spellStart"/>
      <w:r w:rsidRPr="004B0706">
        <w:rPr>
          <w:smallCaps/>
          <w:sz w:val="20"/>
          <w:szCs w:val="20"/>
        </w:rPr>
        <w:t>Ventoruzzo</w:t>
      </w:r>
      <w:proofErr w:type="spellEnd"/>
      <w:r w:rsidRPr="004B0706">
        <w:rPr>
          <w:smallCaps/>
          <w:sz w:val="20"/>
          <w:szCs w:val="20"/>
        </w:rPr>
        <w:t xml:space="preserve"> et al., Comparative Corporate Law </w:t>
      </w:r>
      <w:r w:rsidRPr="004B0706">
        <w:rPr>
          <w:sz w:val="20"/>
          <w:szCs w:val="20"/>
        </w:rPr>
        <w:t>130-31, 170-71 (2015).</w:t>
      </w:r>
    </w:p>
  </w:footnote>
  <w:footnote w:id="253">
    <w:p w:rsidR="000373FF" w:rsidRPr="00F02A12" w:rsidRDefault="000373FF" w:rsidP="00F02A12">
      <w:pPr>
        <w:pStyle w:val="Textodenotaderodap"/>
        <w:jc w:val="both"/>
        <w:rPr>
          <w:sz w:val="20"/>
          <w:szCs w:val="20"/>
        </w:rPr>
      </w:pPr>
      <w:r w:rsidRPr="00C66361">
        <w:rPr>
          <w:rStyle w:val="Refdenotaderodap"/>
          <w:sz w:val="20"/>
          <w:szCs w:val="20"/>
        </w:rPr>
        <w:footnoteRef/>
      </w:r>
      <w:r w:rsidRPr="00C66361">
        <w:rPr>
          <w:sz w:val="20"/>
          <w:szCs w:val="20"/>
        </w:rPr>
        <w:t xml:space="preserve"> </w:t>
      </w:r>
      <w:r w:rsidRPr="00C66361">
        <w:rPr>
          <w:i/>
          <w:sz w:val="20"/>
          <w:szCs w:val="20"/>
        </w:rPr>
        <w:t>See</w:t>
      </w:r>
      <w:r w:rsidRPr="00C66361">
        <w:rPr>
          <w:sz w:val="20"/>
          <w:szCs w:val="20"/>
        </w:rPr>
        <w:t>,</w:t>
      </w:r>
      <w:r w:rsidRPr="00C66361">
        <w:rPr>
          <w:i/>
          <w:sz w:val="20"/>
          <w:szCs w:val="20"/>
        </w:rPr>
        <w:t xml:space="preserve"> e.g.</w:t>
      </w:r>
      <w:r w:rsidRPr="00C66361">
        <w:rPr>
          <w:sz w:val="20"/>
          <w:szCs w:val="20"/>
        </w:rPr>
        <w:t xml:space="preserve">, David M. Albert, </w:t>
      </w:r>
      <w:r w:rsidRPr="00C66361">
        <w:rPr>
          <w:i/>
          <w:sz w:val="20"/>
          <w:szCs w:val="20"/>
        </w:rPr>
        <w:t>Addressing Abuse of the Corporate Entity in th</w:t>
      </w:r>
      <w:r w:rsidRPr="00BC0771">
        <w:rPr>
          <w:i/>
          <w:sz w:val="20"/>
          <w:szCs w:val="20"/>
        </w:rPr>
        <w:t>e People’s Republic of China: New</w:t>
      </w:r>
      <w:r w:rsidRPr="00F02A12">
        <w:rPr>
          <w:i/>
          <w:sz w:val="20"/>
          <w:szCs w:val="20"/>
        </w:rPr>
        <w:t xml:space="preserve"> Thoughts on China’s Need for a Defined Veil Piercing Doctrine</w:t>
      </w:r>
      <w:r w:rsidRPr="00F02A12">
        <w:rPr>
          <w:sz w:val="20"/>
          <w:szCs w:val="20"/>
        </w:rPr>
        <w:t xml:space="preserve">, 23 </w:t>
      </w:r>
      <w:r w:rsidRPr="00F02A12">
        <w:rPr>
          <w:smallCaps/>
          <w:sz w:val="20"/>
          <w:szCs w:val="20"/>
        </w:rPr>
        <w:t>U. Pa. J. Int’l Econ. L.</w:t>
      </w:r>
      <w:r w:rsidRPr="00F02A12">
        <w:rPr>
          <w:sz w:val="20"/>
          <w:szCs w:val="20"/>
        </w:rPr>
        <w:t xml:space="preserve"> 873 (2002). </w:t>
      </w:r>
    </w:p>
  </w:footnote>
  <w:footnote w:id="254">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For a translation and discussion of the relevant provisions, </w:t>
      </w:r>
      <w:r w:rsidRPr="00F02A12">
        <w:rPr>
          <w:i/>
          <w:sz w:val="20"/>
          <w:szCs w:val="20"/>
        </w:rPr>
        <w:t xml:space="preserve">see </w:t>
      </w:r>
      <w:r w:rsidRPr="00F02A12">
        <w:rPr>
          <w:sz w:val="20"/>
          <w:szCs w:val="20"/>
        </w:rPr>
        <w:t xml:space="preserve">Mark Wu, </w:t>
      </w:r>
      <w:r w:rsidRPr="00F02A12">
        <w:rPr>
          <w:i/>
          <w:sz w:val="20"/>
          <w:szCs w:val="20"/>
        </w:rPr>
        <w:t>Piercing China’s Corporate Veil: Open Questions from the New Company Law</w:t>
      </w:r>
      <w:r w:rsidRPr="00F02A12">
        <w:rPr>
          <w:sz w:val="20"/>
          <w:szCs w:val="20"/>
        </w:rPr>
        <w:t xml:space="preserve">, </w:t>
      </w:r>
      <w:r w:rsidRPr="00F02A12">
        <w:rPr>
          <w:smallCaps/>
          <w:sz w:val="20"/>
          <w:szCs w:val="20"/>
        </w:rPr>
        <w:t>117 Yale L.</w:t>
      </w:r>
      <w:r w:rsidRPr="00F02A12">
        <w:rPr>
          <w:sz w:val="20"/>
          <w:szCs w:val="20"/>
        </w:rPr>
        <w:t xml:space="preserve"> J. 329, 333-5 (2007). </w:t>
      </w:r>
    </w:p>
  </w:footnote>
  <w:footnote w:id="255">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Huang, </w:t>
      </w:r>
      <w:r w:rsidRPr="00F02A12">
        <w:rPr>
          <w:i/>
          <w:sz w:val="20"/>
          <w:szCs w:val="20"/>
        </w:rPr>
        <w:t xml:space="preserve">supra </w:t>
      </w:r>
      <w:r w:rsidRPr="00F02A12">
        <w:rPr>
          <w:sz w:val="20"/>
          <w:szCs w:val="20"/>
        </w:rPr>
        <w:t xml:space="preserve">note </w:t>
      </w:r>
      <w:r w:rsidRPr="00F02A12">
        <w:rPr>
          <w:sz w:val="20"/>
          <w:szCs w:val="20"/>
        </w:rPr>
        <w:fldChar w:fldCharType="begin"/>
      </w:r>
      <w:r w:rsidRPr="00F02A12">
        <w:rPr>
          <w:sz w:val="20"/>
          <w:szCs w:val="20"/>
        </w:rPr>
        <w:instrText xml:space="preserve"> NOTEREF _Ref463880096 \h  \* MERGEFORMAT </w:instrText>
      </w:r>
      <w:r w:rsidRPr="00F02A12">
        <w:rPr>
          <w:sz w:val="20"/>
          <w:szCs w:val="20"/>
        </w:rPr>
      </w:r>
      <w:r w:rsidRPr="00F02A12">
        <w:rPr>
          <w:sz w:val="20"/>
          <w:szCs w:val="20"/>
        </w:rPr>
        <w:fldChar w:fldCharType="separate"/>
      </w:r>
      <w:r>
        <w:rPr>
          <w:sz w:val="20"/>
          <w:szCs w:val="20"/>
        </w:rPr>
        <w:t>99</w:t>
      </w:r>
      <w:r w:rsidRPr="00F02A12">
        <w:rPr>
          <w:sz w:val="20"/>
          <w:szCs w:val="20"/>
        </w:rPr>
        <w:fldChar w:fldCharType="end"/>
      </w:r>
      <w:r w:rsidRPr="00F02A12">
        <w:rPr>
          <w:sz w:val="20"/>
          <w:szCs w:val="20"/>
        </w:rPr>
        <w:t>, at 772-3.</w:t>
      </w:r>
    </w:p>
  </w:footnote>
  <w:footnote w:id="256">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sidRPr="00F02A12">
        <w:rPr>
          <w:i/>
          <w:sz w:val="20"/>
          <w:szCs w:val="20"/>
        </w:rPr>
        <w:t xml:space="preserve">Id. </w:t>
      </w:r>
      <w:r w:rsidRPr="00F02A12">
        <w:rPr>
          <w:sz w:val="20"/>
          <w:szCs w:val="20"/>
        </w:rPr>
        <w:t xml:space="preserve">at 748-9. </w:t>
      </w:r>
    </w:p>
  </w:footnote>
  <w:footnote w:id="257">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Kimberly Bin Yu &amp; Richard </w:t>
      </w:r>
      <w:proofErr w:type="spellStart"/>
      <w:r w:rsidRPr="00F02A12">
        <w:rPr>
          <w:sz w:val="20"/>
          <w:szCs w:val="20"/>
        </w:rPr>
        <w:t>Krever</w:t>
      </w:r>
      <w:proofErr w:type="spellEnd"/>
      <w:r w:rsidRPr="00F02A12">
        <w:rPr>
          <w:sz w:val="20"/>
          <w:szCs w:val="20"/>
        </w:rPr>
        <w:t xml:space="preserve">, </w:t>
      </w:r>
      <w:r w:rsidRPr="00F02A12">
        <w:rPr>
          <w:i/>
          <w:sz w:val="20"/>
          <w:szCs w:val="20"/>
        </w:rPr>
        <w:t>The High Frequency of Piercing the Corporate Veil in China</w:t>
      </w:r>
      <w:r w:rsidRPr="00F02A12">
        <w:rPr>
          <w:sz w:val="20"/>
          <w:szCs w:val="20"/>
        </w:rPr>
        <w:t>, 23</w:t>
      </w:r>
      <w:r w:rsidRPr="00F02A12">
        <w:rPr>
          <w:smallCaps/>
          <w:sz w:val="20"/>
          <w:szCs w:val="20"/>
        </w:rPr>
        <w:t xml:space="preserve"> Asia Pac. L. Rev. 63 </w:t>
      </w:r>
      <w:r w:rsidRPr="00F02A12">
        <w:rPr>
          <w:sz w:val="20"/>
          <w:szCs w:val="20"/>
        </w:rPr>
        <w:t xml:space="preserve">(2015). </w:t>
      </w:r>
    </w:p>
  </w:footnote>
  <w:footnote w:id="258">
    <w:p w:rsidR="000373FF" w:rsidRPr="00F02A1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Chao Xi, </w:t>
      </w:r>
      <w:r w:rsidRPr="00F02A12">
        <w:rPr>
          <w:i/>
          <w:sz w:val="20"/>
          <w:szCs w:val="20"/>
        </w:rPr>
        <w:t>Piercing the Corporate Veil in China: How Did We Get There</w:t>
      </w:r>
      <w:proofErr w:type="gramStart"/>
      <w:r w:rsidRPr="00F02A12">
        <w:rPr>
          <w:i/>
          <w:sz w:val="20"/>
          <w:szCs w:val="20"/>
        </w:rPr>
        <w:t>?</w:t>
      </w:r>
      <w:r w:rsidRPr="00F02A12">
        <w:rPr>
          <w:sz w:val="20"/>
          <w:szCs w:val="20"/>
        </w:rPr>
        <w:t>,</w:t>
      </w:r>
      <w:proofErr w:type="gramEnd"/>
      <w:r w:rsidRPr="00F02A12">
        <w:rPr>
          <w:sz w:val="20"/>
          <w:szCs w:val="20"/>
        </w:rPr>
        <w:t xml:space="preserve"> 2011 J</w:t>
      </w:r>
      <w:r w:rsidRPr="00F02A12">
        <w:rPr>
          <w:smallCaps/>
          <w:sz w:val="20"/>
          <w:szCs w:val="20"/>
        </w:rPr>
        <w:t>. Bus. L.</w:t>
      </w:r>
      <w:r w:rsidRPr="00F02A12">
        <w:rPr>
          <w:sz w:val="20"/>
          <w:szCs w:val="20"/>
        </w:rPr>
        <w:t xml:space="preserve"> 413, 429. </w:t>
      </w:r>
    </w:p>
  </w:footnote>
  <w:footnote w:id="259">
    <w:p w:rsidR="000373FF" w:rsidRPr="007B241C" w:rsidRDefault="000373FF" w:rsidP="00F02A12">
      <w:pPr>
        <w:pStyle w:val="Textodenotaderodap"/>
        <w:jc w:val="both"/>
        <w:rPr>
          <w:sz w:val="20"/>
          <w:szCs w:val="20"/>
        </w:rPr>
      </w:pPr>
      <w:r w:rsidRPr="00F02A12">
        <w:rPr>
          <w:rStyle w:val="Refdenotaderodap"/>
          <w:sz w:val="20"/>
          <w:szCs w:val="20"/>
        </w:rPr>
        <w:footnoteRef/>
      </w:r>
      <w:r w:rsidRPr="007B241C">
        <w:rPr>
          <w:sz w:val="20"/>
          <w:szCs w:val="20"/>
        </w:rPr>
        <w:t xml:space="preserve"> </w:t>
      </w:r>
      <w:r w:rsidRPr="007B241C">
        <w:rPr>
          <w:i/>
          <w:sz w:val="20"/>
          <w:szCs w:val="20"/>
        </w:rPr>
        <w:t xml:space="preserve">Id. </w:t>
      </w:r>
      <w:r w:rsidRPr="007B241C">
        <w:rPr>
          <w:sz w:val="20"/>
          <w:szCs w:val="20"/>
        </w:rPr>
        <w:t xml:space="preserve">at 81-2. </w:t>
      </w:r>
    </w:p>
  </w:footnote>
  <w:footnote w:id="260">
    <w:p w:rsidR="000373FF" w:rsidRPr="001A0338" w:rsidRDefault="000373FF" w:rsidP="00F02A12">
      <w:pPr>
        <w:pStyle w:val="Textodenotaderodap"/>
        <w:jc w:val="both"/>
        <w:rPr>
          <w:sz w:val="20"/>
          <w:szCs w:val="20"/>
        </w:rPr>
      </w:pPr>
      <w:r w:rsidRPr="00F02A12">
        <w:rPr>
          <w:rStyle w:val="Refdenotaderodap"/>
          <w:sz w:val="20"/>
          <w:szCs w:val="20"/>
        </w:rPr>
        <w:footnoteRef/>
      </w:r>
      <w:r>
        <w:rPr>
          <w:sz w:val="20"/>
          <w:szCs w:val="20"/>
        </w:rPr>
        <w:t xml:space="preserve"> Curtis J. </w:t>
      </w:r>
      <w:proofErr w:type="spellStart"/>
      <w:r>
        <w:rPr>
          <w:sz w:val="20"/>
          <w:szCs w:val="20"/>
        </w:rPr>
        <w:t>Milhaupt</w:t>
      </w:r>
      <w:proofErr w:type="spellEnd"/>
      <w:r>
        <w:rPr>
          <w:sz w:val="20"/>
          <w:szCs w:val="20"/>
        </w:rPr>
        <w:t>,</w:t>
      </w:r>
      <w:r w:rsidRPr="00F02A12">
        <w:rPr>
          <w:sz w:val="20"/>
          <w:szCs w:val="20"/>
        </w:rPr>
        <w:t xml:space="preserve"> </w:t>
      </w:r>
      <w:r w:rsidRPr="001A0338">
        <w:rPr>
          <w:i/>
          <w:sz w:val="20"/>
          <w:szCs w:val="20"/>
        </w:rPr>
        <w:t>Chinese Corporate Capitalism in Comparative Context</w:t>
      </w:r>
      <w:r>
        <w:rPr>
          <w:sz w:val="20"/>
          <w:szCs w:val="20"/>
        </w:rPr>
        <w:t xml:space="preserve">, </w:t>
      </w:r>
      <w:r>
        <w:rPr>
          <w:i/>
          <w:sz w:val="20"/>
          <w:szCs w:val="20"/>
        </w:rPr>
        <w:t xml:space="preserve">in </w:t>
      </w:r>
      <w:r w:rsidRPr="00B836A2">
        <w:rPr>
          <w:smallCaps/>
          <w:sz w:val="20"/>
          <w:szCs w:val="20"/>
        </w:rPr>
        <w:t>How China Has Changed the Western Ideas of Law and Economic Development</w:t>
      </w:r>
      <w:r w:rsidRPr="00B836A2">
        <w:rPr>
          <w:sz w:val="20"/>
          <w:szCs w:val="20"/>
        </w:rPr>
        <w:t xml:space="preserve"> (</w:t>
      </w:r>
      <w:proofErr w:type="spellStart"/>
      <w:r w:rsidRPr="00B836A2">
        <w:rPr>
          <w:sz w:val="20"/>
          <w:szCs w:val="20"/>
        </w:rPr>
        <w:t>Weitseng</w:t>
      </w:r>
      <w:proofErr w:type="spellEnd"/>
      <w:r w:rsidRPr="00B836A2">
        <w:rPr>
          <w:sz w:val="20"/>
          <w:szCs w:val="20"/>
        </w:rPr>
        <w:t xml:space="preserve"> Chen ed., forthcoming 2016).</w:t>
      </w:r>
      <w:r>
        <w:rPr>
          <w:sz w:val="20"/>
          <w:szCs w:val="20"/>
        </w:rPr>
        <w:t xml:space="preserve"> </w:t>
      </w:r>
    </w:p>
  </w:footnote>
  <w:footnote w:id="261">
    <w:p w:rsidR="000373FF" w:rsidRPr="00B836A2" w:rsidRDefault="000373FF" w:rsidP="00F02A12">
      <w:pPr>
        <w:pStyle w:val="Textodenotaderodap"/>
        <w:jc w:val="both"/>
        <w:rPr>
          <w:sz w:val="20"/>
          <w:szCs w:val="20"/>
        </w:rPr>
      </w:pPr>
      <w:r w:rsidRPr="00F02A12">
        <w:rPr>
          <w:rStyle w:val="Refdenotaderodap"/>
          <w:sz w:val="20"/>
          <w:szCs w:val="20"/>
        </w:rPr>
        <w:footnoteRef/>
      </w:r>
      <w:r w:rsidRPr="00F02A12">
        <w:rPr>
          <w:sz w:val="20"/>
          <w:szCs w:val="20"/>
        </w:rPr>
        <w:t xml:space="preserve"> </w:t>
      </w:r>
      <w:r>
        <w:rPr>
          <w:i/>
          <w:sz w:val="20"/>
          <w:szCs w:val="20"/>
        </w:rPr>
        <w:t xml:space="preserve">Id. </w:t>
      </w:r>
      <w:r>
        <w:rPr>
          <w:sz w:val="20"/>
          <w:szCs w:val="20"/>
        </w:rPr>
        <w:t xml:space="preserve">at 10. </w:t>
      </w:r>
    </w:p>
  </w:footnote>
  <w:footnote w:id="262">
    <w:p w:rsidR="000373FF" w:rsidRPr="00B836A2" w:rsidRDefault="000373FF" w:rsidP="001A0338">
      <w:pPr>
        <w:pStyle w:val="Textodenotaderodap"/>
        <w:jc w:val="both"/>
        <w:rPr>
          <w:sz w:val="20"/>
          <w:szCs w:val="20"/>
        </w:rPr>
      </w:pPr>
      <w:r w:rsidRPr="00F02A12">
        <w:rPr>
          <w:rStyle w:val="Refdenotaderodap"/>
          <w:sz w:val="20"/>
          <w:szCs w:val="20"/>
        </w:rPr>
        <w:footnoteRef/>
      </w:r>
      <w:r w:rsidRPr="00F02A12">
        <w:rPr>
          <w:sz w:val="20"/>
          <w:szCs w:val="20"/>
        </w:rPr>
        <w:t xml:space="preserve"> </w:t>
      </w:r>
      <w:r>
        <w:rPr>
          <w:i/>
          <w:sz w:val="20"/>
          <w:szCs w:val="20"/>
        </w:rPr>
        <w:t xml:space="preserve">Id. </w:t>
      </w:r>
      <w:r>
        <w:rPr>
          <w:sz w:val="20"/>
          <w:szCs w:val="20"/>
        </w:rPr>
        <w:t>at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FF" w:rsidRDefault="000373FF" w:rsidP="0057397D">
    <w:pPr>
      <w:pStyle w:val="Cabealho"/>
      <w:jc w:val="right"/>
      <w:rPr>
        <w:i/>
        <w:lang w:val="en-US"/>
      </w:rPr>
    </w:pPr>
    <w:r>
      <w:rPr>
        <w:i/>
        <w:lang w:val="en-US"/>
      </w:rPr>
      <w:t>Working paper</w:t>
    </w:r>
  </w:p>
  <w:p w:rsidR="000373FF" w:rsidRPr="0057397D" w:rsidRDefault="000373FF" w:rsidP="0057397D">
    <w:pPr>
      <w:pStyle w:val="Cabealho"/>
      <w:jc w:val="right"/>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1726"/>
    <w:multiLevelType w:val="hybridMultilevel"/>
    <w:tmpl w:val="74B0258E"/>
    <w:lvl w:ilvl="0" w:tplc="D7AC9DE8">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17280099"/>
    <w:multiLevelType w:val="hybridMultilevel"/>
    <w:tmpl w:val="591CFD9C"/>
    <w:lvl w:ilvl="0" w:tplc="C160F1F2">
      <w:start w:val="2"/>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9CE1092"/>
    <w:multiLevelType w:val="hybridMultilevel"/>
    <w:tmpl w:val="25F200D6"/>
    <w:lvl w:ilvl="0" w:tplc="996A223E">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02A73F7"/>
    <w:multiLevelType w:val="hybridMultilevel"/>
    <w:tmpl w:val="FBE64AD0"/>
    <w:lvl w:ilvl="0" w:tplc="F8624E66">
      <w:start w:val="1"/>
      <w:numFmt w:val="bullet"/>
      <w:lvlText w:val=""/>
      <w:lvlJc w:val="left"/>
      <w:pPr>
        <w:ind w:left="1068" w:hanging="360"/>
      </w:pPr>
      <w:rPr>
        <w:rFonts w:ascii="Wingdings" w:eastAsiaTheme="minorHAnsi" w:hAnsi="Wingdings" w:cstheme="minorBid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15:restartNumberingAfterBreak="0">
    <w:nsid w:val="3E102132"/>
    <w:multiLevelType w:val="hybridMultilevel"/>
    <w:tmpl w:val="FC528868"/>
    <w:lvl w:ilvl="0" w:tplc="37B8DBFC">
      <w:start w:val="1"/>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8EF4E6A"/>
    <w:multiLevelType w:val="hybridMultilevel"/>
    <w:tmpl w:val="DB226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B874D9B"/>
    <w:multiLevelType w:val="hybridMultilevel"/>
    <w:tmpl w:val="63620F7A"/>
    <w:lvl w:ilvl="0" w:tplc="7A42AFB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3B92AE0"/>
    <w:multiLevelType w:val="hybridMultilevel"/>
    <w:tmpl w:val="F760A15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646E0FD8"/>
    <w:multiLevelType w:val="hybridMultilevel"/>
    <w:tmpl w:val="F5E29604"/>
    <w:lvl w:ilvl="0" w:tplc="7A42AFB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4C17CF2"/>
    <w:multiLevelType w:val="hybridMultilevel"/>
    <w:tmpl w:val="74B0258E"/>
    <w:lvl w:ilvl="0" w:tplc="D7AC9DE8">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2"/>
  </w:num>
  <w:num w:numId="2">
    <w:abstractNumId w:val="0"/>
  </w:num>
  <w:num w:numId="3">
    <w:abstractNumId w:val="4"/>
  </w:num>
  <w:num w:numId="4">
    <w:abstractNumId w:val="6"/>
  </w:num>
  <w:num w:numId="5">
    <w:abstractNumId w:val="8"/>
  </w:num>
  <w:num w:numId="6">
    <w:abstractNumId w:val="9"/>
  </w:num>
  <w:num w:numId="7">
    <w:abstractNumId w:val="3"/>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8B"/>
    <w:rsid w:val="00000103"/>
    <w:rsid w:val="00000327"/>
    <w:rsid w:val="00000560"/>
    <w:rsid w:val="00000CD0"/>
    <w:rsid w:val="00000F41"/>
    <w:rsid w:val="000019D6"/>
    <w:rsid w:val="00001CBA"/>
    <w:rsid w:val="0000283B"/>
    <w:rsid w:val="00002B7F"/>
    <w:rsid w:val="00002FD6"/>
    <w:rsid w:val="000032A8"/>
    <w:rsid w:val="000033A9"/>
    <w:rsid w:val="000040DF"/>
    <w:rsid w:val="00004439"/>
    <w:rsid w:val="00004C9B"/>
    <w:rsid w:val="000070CD"/>
    <w:rsid w:val="00007FD6"/>
    <w:rsid w:val="00011B79"/>
    <w:rsid w:val="00012362"/>
    <w:rsid w:val="00012587"/>
    <w:rsid w:val="000125CE"/>
    <w:rsid w:val="000129E0"/>
    <w:rsid w:val="00012D4C"/>
    <w:rsid w:val="00012E10"/>
    <w:rsid w:val="00013245"/>
    <w:rsid w:val="000139C2"/>
    <w:rsid w:val="0001549C"/>
    <w:rsid w:val="0001563A"/>
    <w:rsid w:val="00015ACF"/>
    <w:rsid w:val="00015B85"/>
    <w:rsid w:val="00015D30"/>
    <w:rsid w:val="0001646D"/>
    <w:rsid w:val="00016860"/>
    <w:rsid w:val="00020F0A"/>
    <w:rsid w:val="00021B3A"/>
    <w:rsid w:val="0002525A"/>
    <w:rsid w:val="00025900"/>
    <w:rsid w:val="00030AA6"/>
    <w:rsid w:val="00032880"/>
    <w:rsid w:val="000337C6"/>
    <w:rsid w:val="00034C2D"/>
    <w:rsid w:val="00034D4F"/>
    <w:rsid w:val="00034D99"/>
    <w:rsid w:val="000363CD"/>
    <w:rsid w:val="0003655F"/>
    <w:rsid w:val="00036BC6"/>
    <w:rsid w:val="000373FF"/>
    <w:rsid w:val="0003752E"/>
    <w:rsid w:val="0003775A"/>
    <w:rsid w:val="00040B2C"/>
    <w:rsid w:val="00040C66"/>
    <w:rsid w:val="000414E1"/>
    <w:rsid w:val="00042E8F"/>
    <w:rsid w:val="000430E3"/>
    <w:rsid w:val="000441C6"/>
    <w:rsid w:val="000441C8"/>
    <w:rsid w:val="00044717"/>
    <w:rsid w:val="00045194"/>
    <w:rsid w:val="00047894"/>
    <w:rsid w:val="000506F1"/>
    <w:rsid w:val="00051739"/>
    <w:rsid w:val="000517E5"/>
    <w:rsid w:val="00051DA8"/>
    <w:rsid w:val="00052396"/>
    <w:rsid w:val="00052BF8"/>
    <w:rsid w:val="00053F5A"/>
    <w:rsid w:val="0005418E"/>
    <w:rsid w:val="00056031"/>
    <w:rsid w:val="00056619"/>
    <w:rsid w:val="00057C0C"/>
    <w:rsid w:val="00060023"/>
    <w:rsid w:val="00060A1A"/>
    <w:rsid w:val="00061D69"/>
    <w:rsid w:val="00062BDF"/>
    <w:rsid w:val="00063487"/>
    <w:rsid w:val="0006491D"/>
    <w:rsid w:val="0006578D"/>
    <w:rsid w:val="00065CFB"/>
    <w:rsid w:val="00066553"/>
    <w:rsid w:val="00066B7B"/>
    <w:rsid w:val="00067520"/>
    <w:rsid w:val="00070341"/>
    <w:rsid w:val="00070FCD"/>
    <w:rsid w:val="0007101A"/>
    <w:rsid w:val="00071100"/>
    <w:rsid w:val="00073BE0"/>
    <w:rsid w:val="00074467"/>
    <w:rsid w:val="00074510"/>
    <w:rsid w:val="000760E3"/>
    <w:rsid w:val="000764A5"/>
    <w:rsid w:val="0007658D"/>
    <w:rsid w:val="00076E0E"/>
    <w:rsid w:val="00077611"/>
    <w:rsid w:val="00080534"/>
    <w:rsid w:val="00080975"/>
    <w:rsid w:val="0008100C"/>
    <w:rsid w:val="00081202"/>
    <w:rsid w:val="00083401"/>
    <w:rsid w:val="000836F4"/>
    <w:rsid w:val="00083762"/>
    <w:rsid w:val="00085686"/>
    <w:rsid w:val="00085AC8"/>
    <w:rsid w:val="00090540"/>
    <w:rsid w:val="000912AB"/>
    <w:rsid w:val="000915A7"/>
    <w:rsid w:val="00092FA1"/>
    <w:rsid w:val="0009317A"/>
    <w:rsid w:val="00093A19"/>
    <w:rsid w:val="00093D74"/>
    <w:rsid w:val="000942BB"/>
    <w:rsid w:val="00094451"/>
    <w:rsid w:val="000960FF"/>
    <w:rsid w:val="00096C55"/>
    <w:rsid w:val="000A0D9A"/>
    <w:rsid w:val="000A145D"/>
    <w:rsid w:val="000A1893"/>
    <w:rsid w:val="000A19F1"/>
    <w:rsid w:val="000A1F71"/>
    <w:rsid w:val="000A36B9"/>
    <w:rsid w:val="000A3CA7"/>
    <w:rsid w:val="000A3DCF"/>
    <w:rsid w:val="000A50E7"/>
    <w:rsid w:val="000A56F9"/>
    <w:rsid w:val="000A5756"/>
    <w:rsid w:val="000A595F"/>
    <w:rsid w:val="000A59F2"/>
    <w:rsid w:val="000A5A66"/>
    <w:rsid w:val="000A5AD2"/>
    <w:rsid w:val="000A6983"/>
    <w:rsid w:val="000A7769"/>
    <w:rsid w:val="000B2D1C"/>
    <w:rsid w:val="000B341C"/>
    <w:rsid w:val="000B3EE2"/>
    <w:rsid w:val="000B4743"/>
    <w:rsid w:val="000B4799"/>
    <w:rsid w:val="000B495B"/>
    <w:rsid w:val="000B6101"/>
    <w:rsid w:val="000B6377"/>
    <w:rsid w:val="000C0A63"/>
    <w:rsid w:val="000C1510"/>
    <w:rsid w:val="000C17BA"/>
    <w:rsid w:val="000C184E"/>
    <w:rsid w:val="000C1C7C"/>
    <w:rsid w:val="000C20BE"/>
    <w:rsid w:val="000C2275"/>
    <w:rsid w:val="000C49E5"/>
    <w:rsid w:val="000C5B85"/>
    <w:rsid w:val="000C69C0"/>
    <w:rsid w:val="000C6D7A"/>
    <w:rsid w:val="000C7F4E"/>
    <w:rsid w:val="000D050A"/>
    <w:rsid w:val="000D0A20"/>
    <w:rsid w:val="000D0BFA"/>
    <w:rsid w:val="000D0D6A"/>
    <w:rsid w:val="000D1CD6"/>
    <w:rsid w:val="000D1E7E"/>
    <w:rsid w:val="000D53C6"/>
    <w:rsid w:val="000D560C"/>
    <w:rsid w:val="000D580D"/>
    <w:rsid w:val="000D5FDD"/>
    <w:rsid w:val="000D6B8F"/>
    <w:rsid w:val="000D6D6F"/>
    <w:rsid w:val="000D75B9"/>
    <w:rsid w:val="000E0192"/>
    <w:rsid w:val="000E0453"/>
    <w:rsid w:val="000E1F92"/>
    <w:rsid w:val="000E52E2"/>
    <w:rsid w:val="000E5AC1"/>
    <w:rsid w:val="000E5F34"/>
    <w:rsid w:val="000E6497"/>
    <w:rsid w:val="000E6A95"/>
    <w:rsid w:val="000E7677"/>
    <w:rsid w:val="000E7DC6"/>
    <w:rsid w:val="000F2BF2"/>
    <w:rsid w:val="000F2F44"/>
    <w:rsid w:val="000F4931"/>
    <w:rsid w:val="000F53D8"/>
    <w:rsid w:val="000F57E3"/>
    <w:rsid w:val="000F5A41"/>
    <w:rsid w:val="000F633A"/>
    <w:rsid w:val="000F6419"/>
    <w:rsid w:val="000F6420"/>
    <w:rsid w:val="000F64F9"/>
    <w:rsid w:val="000F6644"/>
    <w:rsid w:val="000F6C06"/>
    <w:rsid w:val="000F75FE"/>
    <w:rsid w:val="000F7A73"/>
    <w:rsid w:val="000F7B75"/>
    <w:rsid w:val="001008B3"/>
    <w:rsid w:val="00100D6E"/>
    <w:rsid w:val="00100D86"/>
    <w:rsid w:val="00100FD8"/>
    <w:rsid w:val="001015B8"/>
    <w:rsid w:val="00101BAD"/>
    <w:rsid w:val="0010676A"/>
    <w:rsid w:val="0010676D"/>
    <w:rsid w:val="00111747"/>
    <w:rsid w:val="0011368F"/>
    <w:rsid w:val="00113803"/>
    <w:rsid w:val="00114BEB"/>
    <w:rsid w:val="001164C1"/>
    <w:rsid w:val="00116A2C"/>
    <w:rsid w:val="00117BAB"/>
    <w:rsid w:val="00117CD5"/>
    <w:rsid w:val="00120173"/>
    <w:rsid w:val="001222AC"/>
    <w:rsid w:val="0012367D"/>
    <w:rsid w:val="00123C6D"/>
    <w:rsid w:val="00124AF4"/>
    <w:rsid w:val="00125991"/>
    <w:rsid w:val="00126394"/>
    <w:rsid w:val="001303ED"/>
    <w:rsid w:val="00130E5D"/>
    <w:rsid w:val="001323DD"/>
    <w:rsid w:val="00132AE3"/>
    <w:rsid w:val="0013334B"/>
    <w:rsid w:val="00133785"/>
    <w:rsid w:val="001375E9"/>
    <w:rsid w:val="00137BD0"/>
    <w:rsid w:val="00140484"/>
    <w:rsid w:val="0014071C"/>
    <w:rsid w:val="00142994"/>
    <w:rsid w:val="00143E55"/>
    <w:rsid w:val="0014510D"/>
    <w:rsid w:val="00145AF0"/>
    <w:rsid w:val="001473DF"/>
    <w:rsid w:val="0014788E"/>
    <w:rsid w:val="00147E51"/>
    <w:rsid w:val="00150AD7"/>
    <w:rsid w:val="00150B14"/>
    <w:rsid w:val="00151021"/>
    <w:rsid w:val="0015281D"/>
    <w:rsid w:val="00152E30"/>
    <w:rsid w:val="00153817"/>
    <w:rsid w:val="00153A75"/>
    <w:rsid w:val="00154E7D"/>
    <w:rsid w:val="00154EFA"/>
    <w:rsid w:val="00154F31"/>
    <w:rsid w:val="00155339"/>
    <w:rsid w:val="001572BF"/>
    <w:rsid w:val="00157779"/>
    <w:rsid w:val="001606D6"/>
    <w:rsid w:val="00160B71"/>
    <w:rsid w:val="00161AD2"/>
    <w:rsid w:val="0016257A"/>
    <w:rsid w:val="001627B4"/>
    <w:rsid w:val="00162BA3"/>
    <w:rsid w:val="001633F3"/>
    <w:rsid w:val="001638C5"/>
    <w:rsid w:val="00165C45"/>
    <w:rsid w:val="00170913"/>
    <w:rsid w:val="001719FE"/>
    <w:rsid w:val="00172486"/>
    <w:rsid w:val="001724B0"/>
    <w:rsid w:val="001739F9"/>
    <w:rsid w:val="00173C3B"/>
    <w:rsid w:val="00173DAA"/>
    <w:rsid w:val="001756B1"/>
    <w:rsid w:val="00176468"/>
    <w:rsid w:val="001764DA"/>
    <w:rsid w:val="00177199"/>
    <w:rsid w:val="00180A76"/>
    <w:rsid w:val="001812E9"/>
    <w:rsid w:val="001819A1"/>
    <w:rsid w:val="001828CB"/>
    <w:rsid w:val="00182F0A"/>
    <w:rsid w:val="00185F0D"/>
    <w:rsid w:val="00186C91"/>
    <w:rsid w:val="00187AB9"/>
    <w:rsid w:val="00190CB4"/>
    <w:rsid w:val="00190E0F"/>
    <w:rsid w:val="001915F6"/>
    <w:rsid w:val="00191C1E"/>
    <w:rsid w:val="001933DB"/>
    <w:rsid w:val="0019343D"/>
    <w:rsid w:val="00194A7F"/>
    <w:rsid w:val="00195E3F"/>
    <w:rsid w:val="00195F66"/>
    <w:rsid w:val="001960C3"/>
    <w:rsid w:val="00197922"/>
    <w:rsid w:val="00197936"/>
    <w:rsid w:val="001A026A"/>
    <w:rsid w:val="001A0338"/>
    <w:rsid w:val="001A174F"/>
    <w:rsid w:val="001A26AC"/>
    <w:rsid w:val="001A306B"/>
    <w:rsid w:val="001A38A3"/>
    <w:rsid w:val="001A40FD"/>
    <w:rsid w:val="001A5E6E"/>
    <w:rsid w:val="001A7B09"/>
    <w:rsid w:val="001B0417"/>
    <w:rsid w:val="001B09CF"/>
    <w:rsid w:val="001B0CC8"/>
    <w:rsid w:val="001B2246"/>
    <w:rsid w:val="001B2DF4"/>
    <w:rsid w:val="001B3D9C"/>
    <w:rsid w:val="001B6498"/>
    <w:rsid w:val="001C053F"/>
    <w:rsid w:val="001C1213"/>
    <w:rsid w:val="001C1D4D"/>
    <w:rsid w:val="001C23CC"/>
    <w:rsid w:val="001C29E7"/>
    <w:rsid w:val="001C3417"/>
    <w:rsid w:val="001C3654"/>
    <w:rsid w:val="001C3BA1"/>
    <w:rsid w:val="001C3D1D"/>
    <w:rsid w:val="001C3DB9"/>
    <w:rsid w:val="001C40A3"/>
    <w:rsid w:val="001C4725"/>
    <w:rsid w:val="001C52F6"/>
    <w:rsid w:val="001C5EA9"/>
    <w:rsid w:val="001C7938"/>
    <w:rsid w:val="001C79A5"/>
    <w:rsid w:val="001C7AF6"/>
    <w:rsid w:val="001D0436"/>
    <w:rsid w:val="001D0A54"/>
    <w:rsid w:val="001D0E60"/>
    <w:rsid w:val="001D31D8"/>
    <w:rsid w:val="001D3C6D"/>
    <w:rsid w:val="001D4441"/>
    <w:rsid w:val="001D49F9"/>
    <w:rsid w:val="001D5513"/>
    <w:rsid w:val="001D5CD2"/>
    <w:rsid w:val="001D6F03"/>
    <w:rsid w:val="001D7F74"/>
    <w:rsid w:val="001E0853"/>
    <w:rsid w:val="001E107E"/>
    <w:rsid w:val="001E1596"/>
    <w:rsid w:val="001E1CAA"/>
    <w:rsid w:val="001E2871"/>
    <w:rsid w:val="001E31A5"/>
    <w:rsid w:val="001E4A61"/>
    <w:rsid w:val="001E5C10"/>
    <w:rsid w:val="001E5E7A"/>
    <w:rsid w:val="001E607B"/>
    <w:rsid w:val="001E64C1"/>
    <w:rsid w:val="001E69F9"/>
    <w:rsid w:val="001E7843"/>
    <w:rsid w:val="001E7F99"/>
    <w:rsid w:val="001F04B0"/>
    <w:rsid w:val="001F07B4"/>
    <w:rsid w:val="001F0C9F"/>
    <w:rsid w:val="001F0F7C"/>
    <w:rsid w:val="001F1022"/>
    <w:rsid w:val="001F1294"/>
    <w:rsid w:val="001F285B"/>
    <w:rsid w:val="001F2D9E"/>
    <w:rsid w:val="001F3508"/>
    <w:rsid w:val="001F4DB4"/>
    <w:rsid w:val="001F51A2"/>
    <w:rsid w:val="001F572E"/>
    <w:rsid w:val="001F5BAC"/>
    <w:rsid w:val="00201CEE"/>
    <w:rsid w:val="00201DC7"/>
    <w:rsid w:val="0020287A"/>
    <w:rsid w:val="00203C42"/>
    <w:rsid w:val="00204DD8"/>
    <w:rsid w:val="00205219"/>
    <w:rsid w:val="00205921"/>
    <w:rsid w:val="00205EEE"/>
    <w:rsid w:val="00206F4A"/>
    <w:rsid w:val="0020756C"/>
    <w:rsid w:val="00207864"/>
    <w:rsid w:val="002101A9"/>
    <w:rsid w:val="002106C7"/>
    <w:rsid w:val="00210764"/>
    <w:rsid w:val="00210E91"/>
    <w:rsid w:val="002110CD"/>
    <w:rsid w:val="00211EE5"/>
    <w:rsid w:val="00212111"/>
    <w:rsid w:val="00213A55"/>
    <w:rsid w:val="002143C0"/>
    <w:rsid w:val="002148E5"/>
    <w:rsid w:val="00214903"/>
    <w:rsid w:val="00214B15"/>
    <w:rsid w:val="00214BAF"/>
    <w:rsid w:val="00214E8A"/>
    <w:rsid w:val="00214EC5"/>
    <w:rsid w:val="00215D8B"/>
    <w:rsid w:val="00215E6D"/>
    <w:rsid w:val="00215F47"/>
    <w:rsid w:val="00216C3F"/>
    <w:rsid w:val="0021781F"/>
    <w:rsid w:val="002208CB"/>
    <w:rsid w:val="00221194"/>
    <w:rsid w:val="002217AF"/>
    <w:rsid w:val="00221A2A"/>
    <w:rsid w:val="002234A5"/>
    <w:rsid w:val="00224893"/>
    <w:rsid w:val="0022554B"/>
    <w:rsid w:val="00225792"/>
    <w:rsid w:val="00225AE3"/>
    <w:rsid w:val="0022615E"/>
    <w:rsid w:val="002266BE"/>
    <w:rsid w:val="0022682F"/>
    <w:rsid w:val="0022742A"/>
    <w:rsid w:val="00227950"/>
    <w:rsid w:val="00234302"/>
    <w:rsid w:val="00234F2C"/>
    <w:rsid w:val="002353E1"/>
    <w:rsid w:val="00235D5C"/>
    <w:rsid w:val="00235E4D"/>
    <w:rsid w:val="00236D9F"/>
    <w:rsid w:val="00236E1D"/>
    <w:rsid w:val="00240B89"/>
    <w:rsid w:val="00242337"/>
    <w:rsid w:val="00243A57"/>
    <w:rsid w:val="00244452"/>
    <w:rsid w:val="002464A0"/>
    <w:rsid w:val="00247087"/>
    <w:rsid w:val="00247ED5"/>
    <w:rsid w:val="00251779"/>
    <w:rsid w:val="0025411E"/>
    <w:rsid w:val="00254171"/>
    <w:rsid w:val="002573AF"/>
    <w:rsid w:val="00260800"/>
    <w:rsid w:val="0026140E"/>
    <w:rsid w:val="00261B7A"/>
    <w:rsid w:val="00261F6D"/>
    <w:rsid w:val="0026253F"/>
    <w:rsid w:val="002625DA"/>
    <w:rsid w:val="0026293D"/>
    <w:rsid w:val="00263B08"/>
    <w:rsid w:val="00264674"/>
    <w:rsid w:val="00264D0A"/>
    <w:rsid w:val="00264E37"/>
    <w:rsid w:val="00267DA3"/>
    <w:rsid w:val="0027287C"/>
    <w:rsid w:val="002728DB"/>
    <w:rsid w:val="002734CE"/>
    <w:rsid w:val="00273C07"/>
    <w:rsid w:val="00275E92"/>
    <w:rsid w:val="00276CE2"/>
    <w:rsid w:val="00281183"/>
    <w:rsid w:val="002813A2"/>
    <w:rsid w:val="002813AA"/>
    <w:rsid w:val="002822F2"/>
    <w:rsid w:val="0028263D"/>
    <w:rsid w:val="002826B9"/>
    <w:rsid w:val="00282744"/>
    <w:rsid w:val="002833BF"/>
    <w:rsid w:val="002838B6"/>
    <w:rsid w:val="002843FF"/>
    <w:rsid w:val="00284555"/>
    <w:rsid w:val="00285497"/>
    <w:rsid w:val="002859F3"/>
    <w:rsid w:val="00285D2C"/>
    <w:rsid w:val="00290E14"/>
    <w:rsid w:val="00292785"/>
    <w:rsid w:val="0029291E"/>
    <w:rsid w:val="00292970"/>
    <w:rsid w:val="00293251"/>
    <w:rsid w:val="002940C2"/>
    <w:rsid w:val="002942C1"/>
    <w:rsid w:val="0029481E"/>
    <w:rsid w:val="00295456"/>
    <w:rsid w:val="002978E9"/>
    <w:rsid w:val="00297939"/>
    <w:rsid w:val="00297D2A"/>
    <w:rsid w:val="002A10BF"/>
    <w:rsid w:val="002A216B"/>
    <w:rsid w:val="002A21A6"/>
    <w:rsid w:val="002A28B3"/>
    <w:rsid w:val="002A2B9C"/>
    <w:rsid w:val="002A2E3B"/>
    <w:rsid w:val="002A55E8"/>
    <w:rsid w:val="002A57D7"/>
    <w:rsid w:val="002A7996"/>
    <w:rsid w:val="002A7DCC"/>
    <w:rsid w:val="002B0C5D"/>
    <w:rsid w:val="002B16FE"/>
    <w:rsid w:val="002B56C2"/>
    <w:rsid w:val="002B72D3"/>
    <w:rsid w:val="002B7F48"/>
    <w:rsid w:val="002C1B8F"/>
    <w:rsid w:val="002C1CBB"/>
    <w:rsid w:val="002C563C"/>
    <w:rsid w:val="002C625C"/>
    <w:rsid w:val="002C6964"/>
    <w:rsid w:val="002C6EA4"/>
    <w:rsid w:val="002C7131"/>
    <w:rsid w:val="002C78D9"/>
    <w:rsid w:val="002D0143"/>
    <w:rsid w:val="002D09BC"/>
    <w:rsid w:val="002D149B"/>
    <w:rsid w:val="002D14B0"/>
    <w:rsid w:val="002D2ADE"/>
    <w:rsid w:val="002D38B1"/>
    <w:rsid w:val="002D3C9A"/>
    <w:rsid w:val="002D4524"/>
    <w:rsid w:val="002D4916"/>
    <w:rsid w:val="002D4C91"/>
    <w:rsid w:val="002D510D"/>
    <w:rsid w:val="002D543A"/>
    <w:rsid w:val="002D615D"/>
    <w:rsid w:val="002D7631"/>
    <w:rsid w:val="002D7EF3"/>
    <w:rsid w:val="002E0022"/>
    <w:rsid w:val="002E0B1B"/>
    <w:rsid w:val="002E0F39"/>
    <w:rsid w:val="002E1389"/>
    <w:rsid w:val="002E3B7A"/>
    <w:rsid w:val="002E4EE2"/>
    <w:rsid w:val="002E5305"/>
    <w:rsid w:val="002E600E"/>
    <w:rsid w:val="002F0255"/>
    <w:rsid w:val="002F0D31"/>
    <w:rsid w:val="002F0EAC"/>
    <w:rsid w:val="002F412A"/>
    <w:rsid w:val="002F4C96"/>
    <w:rsid w:val="002F51C8"/>
    <w:rsid w:val="002F6261"/>
    <w:rsid w:val="002F6C68"/>
    <w:rsid w:val="002F7C40"/>
    <w:rsid w:val="002F7F92"/>
    <w:rsid w:val="00300E51"/>
    <w:rsid w:val="00302155"/>
    <w:rsid w:val="00310257"/>
    <w:rsid w:val="00310A10"/>
    <w:rsid w:val="00311D8D"/>
    <w:rsid w:val="00311E3C"/>
    <w:rsid w:val="00313098"/>
    <w:rsid w:val="00313574"/>
    <w:rsid w:val="00313E80"/>
    <w:rsid w:val="003157DC"/>
    <w:rsid w:val="00316369"/>
    <w:rsid w:val="00317343"/>
    <w:rsid w:val="003174CD"/>
    <w:rsid w:val="00317AFC"/>
    <w:rsid w:val="00317C41"/>
    <w:rsid w:val="003204EC"/>
    <w:rsid w:val="00321A7C"/>
    <w:rsid w:val="00324042"/>
    <w:rsid w:val="00324B80"/>
    <w:rsid w:val="003257A8"/>
    <w:rsid w:val="00325839"/>
    <w:rsid w:val="00326703"/>
    <w:rsid w:val="00326E02"/>
    <w:rsid w:val="003270D7"/>
    <w:rsid w:val="00327315"/>
    <w:rsid w:val="00331363"/>
    <w:rsid w:val="00331407"/>
    <w:rsid w:val="0033177B"/>
    <w:rsid w:val="0033213C"/>
    <w:rsid w:val="00332276"/>
    <w:rsid w:val="0033288D"/>
    <w:rsid w:val="00333633"/>
    <w:rsid w:val="003337F8"/>
    <w:rsid w:val="00334048"/>
    <w:rsid w:val="00335749"/>
    <w:rsid w:val="00335856"/>
    <w:rsid w:val="003364EB"/>
    <w:rsid w:val="003365FC"/>
    <w:rsid w:val="00336A3C"/>
    <w:rsid w:val="00337416"/>
    <w:rsid w:val="00340BB5"/>
    <w:rsid w:val="00341563"/>
    <w:rsid w:val="003417BA"/>
    <w:rsid w:val="00343008"/>
    <w:rsid w:val="00343C1B"/>
    <w:rsid w:val="00344DDE"/>
    <w:rsid w:val="0034517D"/>
    <w:rsid w:val="00345C8C"/>
    <w:rsid w:val="00346542"/>
    <w:rsid w:val="003466F6"/>
    <w:rsid w:val="003475A1"/>
    <w:rsid w:val="003478C6"/>
    <w:rsid w:val="00347EC8"/>
    <w:rsid w:val="00350888"/>
    <w:rsid w:val="00352B27"/>
    <w:rsid w:val="003563C8"/>
    <w:rsid w:val="00357741"/>
    <w:rsid w:val="00360270"/>
    <w:rsid w:val="0036142E"/>
    <w:rsid w:val="00361F00"/>
    <w:rsid w:val="00361F47"/>
    <w:rsid w:val="0036233D"/>
    <w:rsid w:val="00362E58"/>
    <w:rsid w:val="00364D83"/>
    <w:rsid w:val="00364DC8"/>
    <w:rsid w:val="003652B0"/>
    <w:rsid w:val="003654F6"/>
    <w:rsid w:val="00372068"/>
    <w:rsid w:val="00372132"/>
    <w:rsid w:val="003722E8"/>
    <w:rsid w:val="00372E94"/>
    <w:rsid w:val="00372F4F"/>
    <w:rsid w:val="0037394A"/>
    <w:rsid w:val="00373EE5"/>
    <w:rsid w:val="0037513D"/>
    <w:rsid w:val="0037584D"/>
    <w:rsid w:val="00375B4F"/>
    <w:rsid w:val="00376988"/>
    <w:rsid w:val="00380524"/>
    <w:rsid w:val="003805BB"/>
    <w:rsid w:val="00380A2A"/>
    <w:rsid w:val="003814DF"/>
    <w:rsid w:val="00381732"/>
    <w:rsid w:val="00382CD3"/>
    <w:rsid w:val="00383255"/>
    <w:rsid w:val="0038341E"/>
    <w:rsid w:val="00385236"/>
    <w:rsid w:val="0038544E"/>
    <w:rsid w:val="00390ECD"/>
    <w:rsid w:val="00391369"/>
    <w:rsid w:val="00392479"/>
    <w:rsid w:val="0039338B"/>
    <w:rsid w:val="00394F36"/>
    <w:rsid w:val="00395539"/>
    <w:rsid w:val="00396121"/>
    <w:rsid w:val="00396DB0"/>
    <w:rsid w:val="003A01EE"/>
    <w:rsid w:val="003A1CB6"/>
    <w:rsid w:val="003A1E61"/>
    <w:rsid w:val="003A23B0"/>
    <w:rsid w:val="003A23C3"/>
    <w:rsid w:val="003A2F03"/>
    <w:rsid w:val="003A7B09"/>
    <w:rsid w:val="003B0F66"/>
    <w:rsid w:val="003B15D5"/>
    <w:rsid w:val="003B3087"/>
    <w:rsid w:val="003B5B1D"/>
    <w:rsid w:val="003B6188"/>
    <w:rsid w:val="003B69C8"/>
    <w:rsid w:val="003B6ABB"/>
    <w:rsid w:val="003B6F3D"/>
    <w:rsid w:val="003C00C4"/>
    <w:rsid w:val="003C0B47"/>
    <w:rsid w:val="003C0BC1"/>
    <w:rsid w:val="003C1CF8"/>
    <w:rsid w:val="003C1E88"/>
    <w:rsid w:val="003C2364"/>
    <w:rsid w:val="003C2E04"/>
    <w:rsid w:val="003C3D0C"/>
    <w:rsid w:val="003C5581"/>
    <w:rsid w:val="003C5683"/>
    <w:rsid w:val="003C5A15"/>
    <w:rsid w:val="003C62ED"/>
    <w:rsid w:val="003C672A"/>
    <w:rsid w:val="003C7839"/>
    <w:rsid w:val="003C7C9F"/>
    <w:rsid w:val="003D0833"/>
    <w:rsid w:val="003D22E1"/>
    <w:rsid w:val="003D231D"/>
    <w:rsid w:val="003D2B18"/>
    <w:rsid w:val="003D30D9"/>
    <w:rsid w:val="003D3173"/>
    <w:rsid w:val="003D3B25"/>
    <w:rsid w:val="003D51CA"/>
    <w:rsid w:val="003D66DD"/>
    <w:rsid w:val="003D68F4"/>
    <w:rsid w:val="003D6B37"/>
    <w:rsid w:val="003D7709"/>
    <w:rsid w:val="003D7E3C"/>
    <w:rsid w:val="003E119B"/>
    <w:rsid w:val="003E139F"/>
    <w:rsid w:val="003E1ADE"/>
    <w:rsid w:val="003E1FD6"/>
    <w:rsid w:val="003E2282"/>
    <w:rsid w:val="003E3DE2"/>
    <w:rsid w:val="003E4513"/>
    <w:rsid w:val="003E4EBE"/>
    <w:rsid w:val="003E509C"/>
    <w:rsid w:val="003F20C6"/>
    <w:rsid w:val="003F2B35"/>
    <w:rsid w:val="003F2C6C"/>
    <w:rsid w:val="003F2D6A"/>
    <w:rsid w:val="003F2EFA"/>
    <w:rsid w:val="003F3031"/>
    <w:rsid w:val="003F3C19"/>
    <w:rsid w:val="003F3F18"/>
    <w:rsid w:val="003F495D"/>
    <w:rsid w:val="003F4BE2"/>
    <w:rsid w:val="003F4CFD"/>
    <w:rsid w:val="003F520E"/>
    <w:rsid w:val="003F532B"/>
    <w:rsid w:val="003F53FE"/>
    <w:rsid w:val="003F5515"/>
    <w:rsid w:val="003F5CAB"/>
    <w:rsid w:val="003F66CB"/>
    <w:rsid w:val="003F7153"/>
    <w:rsid w:val="0040052E"/>
    <w:rsid w:val="004010B8"/>
    <w:rsid w:val="00401362"/>
    <w:rsid w:val="00401B84"/>
    <w:rsid w:val="0040207D"/>
    <w:rsid w:val="0040593D"/>
    <w:rsid w:val="00405F66"/>
    <w:rsid w:val="00406170"/>
    <w:rsid w:val="0040691C"/>
    <w:rsid w:val="00407DD6"/>
    <w:rsid w:val="004102EC"/>
    <w:rsid w:val="00410FA1"/>
    <w:rsid w:val="004111E3"/>
    <w:rsid w:val="00411D00"/>
    <w:rsid w:val="00412826"/>
    <w:rsid w:val="0041299D"/>
    <w:rsid w:val="00415EF0"/>
    <w:rsid w:val="00416DEF"/>
    <w:rsid w:val="0042331A"/>
    <w:rsid w:val="0042350E"/>
    <w:rsid w:val="00423BE4"/>
    <w:rsid w:val="00423F37"/>
    <w:rsid w:val="0042526C"/>
    <w:rsid w:val="00426779"/>
    <w:rsid w:val="00426D49"/>
    <w:rsid w:val="004336FF"/>
    <w:rsid w:val="00433916"/>
    <w:rsid w:val="00434026"/>
    <w:rsid w:val="00434B1C"/>
    <w:rsid w:val="00436DB9"/>
    <w:rsid w:val="00436F54"/>
    <w:rsid w:val="0043743B"/>
    <w:rsid w:val="00437A5E"/>
    <w:rsid w:val="00437B3E"/>
    <w:rsid w:val="00437C2D"/>
    <w:rsid w:val="00440461"/>
    <w:rsid w:val="004407DF"/>
    <w:rsid w:val="00440CAD"/>
    <w:rsid w:val="004410E1"/>
    <w:rsid w:val="00441735"/>
    <w:rsid w:val="004425D9"/>
    <w:rsid w:val="004428BF"/>
    <w:rsid w:val="00442C0A"/>
    <w:rsid w:val="00442F62"/>
    <w:rsid w:val="00443311"/>
    <w:rsid w:val="00443A4F"/>
    <w:rsid w:val="00443D18"/>
    <w:rsid w:val="00446261"/>
    <w:rsid w:val="00447CE2"/>
    <w:rsid w:val="00450498"/>
    <w:rsid w:val="004520BB"/>
    <w:rsid w:val="00452131"/>
    <w:rsid w:val="004524A1"/>
    <w:rsid w:val="004537DC"/>
    <w:rsid w:val="00453989"/>
    <w:rsid w:val="00456101"/>
    <w:rsid w:val="004602A5"/>
    <w:rsid w:val="0046208D"/>
    <w:rsid w:val="00463B5E"/>
    <w:rsid w:val="00463C87"/>
    <w:rsid w:val="00463F15"/>
    <w:rsid w:val="00464321"/>
    <w:rsid w:val="004646C2"/>
    <w:rsid w:val="00465251"/>
    <w:rsid w:val="00465842"/>
    <w:rsid w:val="004659C8"/>
    <w:rsid w:val="00466B98"/>
    <w:rsid w:val="00467A65"/>
    <w:rsid w:val="00470E3F"/>
    <w:rsid w:val="00470FB4"/>
    <w:rsid w:val="00471A23"/>
    <w:rsid w:val="004724B6"/>
    <w:rsid w:val="004724DC"/>
    <w:rsid w:val="00472BD9"/>
    <w:rsid w:val="00472FE8"/>
    <w:rsid w:val="004738E4"/>
    <w:rsid w:val="004747FB"/>
    <w:rsid w:val="004749DB"/>
    <w:rsid w:val="004749EC"/>
    <w:rsid w:val="00474BB8"/>
    <w:rsid w:val="00475570"/>
    <w:rsid w:val="00475FE8"/>
    <w:rsid w:val="004776E8"/>
    <w:rsid w:val="00480120"/>
    <w:rsid w:val="004811D6"/>
    <w:rsid w:val="00481C47"/>
    <w:rsid w:val="00482E28"/>
    <w:rsid w:val="00483700"/>
    <w:rsid w:val="00483976"/>
    <w:rsid w:val="004845C0"/>
    <w:rsid w:val="00485CCF"/>
    <w:rsid w:val="00485F8C"/>
    <w:rsid w:val="0048609E"/>
    <w:rsid w:val="00487494"/>
    <w:rsid w:val="0048798E"/>
    <w:rsid w:val="00490618"/>
    <w:rsid w:val="0049154E"/>
    <w:rsid w:val="0049189F"/>
    <w:rsid w:val="00491F5D"/>
    <w:rsid w:val="004921DF"/>
    <w:rsid w:val="0049317E"/>
    <w:rsid w:val="00494A35"/>
    <w:rsid w:val="0049634F"/>
    <w:rsid w:val="0049697B"/>
    <w:rsid w:val="00496EF7"/>
    <w:rsid w:val="00496F67"/>
    <w:rsid w:val="004970DA"/>
    <w:rsid w:val="00497214"/>
    <w:rsid w:val="00497F54"/>
    <w:rsid w:val="004A3463"/>
    <w:rsid w:val="004A3F77"/>
    <w:rsid w:val="004A48AD"/>
    <w:rsid w:val="004A4A7D"/>
    <w:rsid w:val="004A5AED"/>
    <w:rsid w:val="004A5C90"/>
    <w:rsid w:val="004A66D4"/>
    <w:rsid w:val="004A697B"/>
    <w:rsid w:val="004A6EB8"/>
    <w:rsid w:val="004A7EA6"/>
    <w:rsid w:val="004B0706"/>
    <w:rsid w:val="004B09DC"/>
    <w:rsid w:val="004B0F5B"/>
    <w:rsid w:val="004B2513"/>
    <w:rsid w:val="004B2CD3"/>
    <w:rsid w:val="004B3623"/>
    <w:rsid w:val="004B3AFB"/>
    <w:rsid w:val="004B4385"/>
    <w:rsid w:val="004B5750"/>
    <w:rsid w:val="004B6CD9"/>
    <w:rsid w:val="004B7BB4"/>
    <w:rsid w:val="004C027B"/>
    <w:rsid w:val="004C03CD"/>
    <w:rsid w:val="004C0CDD"/>
    <w:rsid w:val="004C113D"/>
    <w:rsid w:val="004C20D3"/>
    <w:rsid w:val="004C3F7B"/>
    <w:rsid w:val="004C49DA"/>
    <w:rsid w:val="004C4EA4"/>
    <w:rsid w:val="004C5622"/>
    <w:rsid w:val="004C5670"/>
    <w:rsid w:val="004C6027"/>
    <w:rsid w:val="004C68E8"/>
    <w:rsid w:val="004C74D6"/>
    <w:rsid w:val="004C7E62"/>
    <w:rsid w:val="004D0A62"/>
    <w:rsid w:val="004D135D"/>
    <w:rsid w:val="004D21F0"/>
    <w:rsid w:val="004D3B62"/>
    <w:rsid w:val="004D4429"/>
    <w:rsid w:val="004D45C6"/>
    <w:rsid w:val="004D4DD7"/>
    <w:rsid w:val="004D541D"/>
    <w:rsid w:val="004D656A"/>
    <w:rsid w:val="004D774F"/>
    <w:rsid w:val="004D7E27"/>
    <w:rsid w:val="004D7FD2"/>
    <w:rsid w:val="004E1CE0"/>
    <w:rsid w:val="004E2050"/>
    <w:rsid w:val="004E3811"/>
    <w:rsid w:val="004E4787"/>
    <w:rsid w:val="004E58AD"/>
    <w:rsid w:val="004E5F98"/>
    <w:rsid w:val="004E62B6"/>
    <w:rsid w:val="004E665A"/>
    <w:rsid w:val="004E6855"/>
    <w:rsid w:val="004E6861"/>
    <w:rsid w:val="004E7126"/>
    <w:rsid w:val="004E7A54"/>
    <w:rsid w:val="004F0456"/>
    <w:rsid w:val="004F04C8"/>
    <w:rsid w:val="004F1052"/>
    <w:rsid w:val="004F1BC6"/>
    <w:rsid w:val="004F214F"/>
    <w:rsid w:val="004F2B17"/>
    <w:rsid w:val="004F43AE"/>
    <w:rsid w:val="004F4FEC"/>
    <w:rsid w:val="004F621E"/>
    <w:rsid w:val="00503C1F"/>
    <w:rsid w:val="00504172"/>
    <w:rsid w:val="00504F19"/>
    <w:rsid w:val="005109BE"/>
    <w:rsid w:val="00510AF4"/>
    <w:rsid w:val="00511BED"/>
    <w:rsid w:val="00514381"/>
    <w:rsid w:val="00514AD2"/>
    <w:rsid w:val="0051501A"/>
    <w:rsid w:val="005166C8"/>
    <w:rsid w:val="00516E45"/>
    <w:rsid w:val="00517F3D"/>
    <w:rsid w:val="00520282"/>
    <w:rsid w:val="00520B10"/>
    <w:rsid w:val="00520EC8"/>
    <w:rsid w:val="00521222"/>
    <w:rsid w:val="00521E30"/>
    <w:rsid w:val="00523667"/>
    <w:rsid w:val="00523673"/>
    <w:rsid w:val="00523C92"/>
    <w:rsid w:val="00524394"/>
    <w:rsid w:val="00525C6B"/>
    <w:rsid w:val="005303A5"/>
    <w:rsid w:val="005304A5"/>
    <w:rsid w:val="005308A0"/>
    <w:rsid w:val="00531755"/>
    <w:rsid w:val="00531AE7"/>
    <w:rsid w:val="005322B9"/>
    <w:rsid w:val="0053317E"/>
    <w:rsid w:val="0053440D"/>
    <w:rsid w:val="00534887"/>
    <w:rsid w:val="005366F2"/>
    <w:rsid w:val="00536EA1"/>
    <w:rsid w:val="005370BE"/>
    <w:rsid w:val="005371CB"/>
    <w:rsid w:val="00540E1E"/>
    <w:rsid w:val="005427B7"/>
    <w:rsid w:val="00543C3A"/>
    <w:rsid w:val="00543F16"/>
    <w:rsid w:val="0054429C"/>
    <w:rsid w:val="00544AB6"/>
    <w:rsid w:val="00545CAF"/>
    <w:rsid w:val="00545EC2"/>
    <w:rsid w:val="005460EA"/>
    <w:rsid w:val="00546217"/>
    <w:rsid w:val="005462CC"/>
    <w:rsid w:val="005466C9"/>
    <w:rsid w:val="00547DAE"/>
    <w:rsid w:val="00550783"/>
    <w:rsid w:val="00550B27"/>
    <w:rsid w:val="00552030"/>
    <w:rsid w:val="005522BE"/>
    <w:rsid w:val="00552E12"/>
    <w:rsid w:val="005536E6"/>
    <w:rsid w:val="00553BB1"/>
    <w:rsid w:val="0055493D"/>
    <w:rsid w:val="0055550D"/>
    <w:rsid w:val="00555924"/>
    <w:rsid w:val="005559EA"/>
    <w:rsid w:val="005561E5"/>
    <w:rsid w:val="00556224"/>
    <w:rsid w:val="0055627B"/>
    <w:rsid w:val="005562A9"/>
    <w:rsid w:val="005578B9"/>
    <w:rsid w:val="00557CD3"/>
    <w:rsid w:val="00561853"/>
    <w:rsid w:val="00561E67"/>
    <w:rsid w:val="00562E46"/>
    <w:rsid w:val="00562F73"/>
    <w:rsid w:val="00564820"/>
    <w:rsid w:val="0056577B"/>
    <w:rsid w:val="005658F6"/>
    <w:rsid w:val="00571A4D"/>
    <w:rsid w:val="00572332"/>
    <w:rsid w:val="00572C44"/>
    <w:rsid w:val="00572E3F"/>
    <w:rsid w:val="0057397D"/>
    <w:rsid w:val="00573D8F"/>
    <w:rsid w:val="0057424E"/>
    <w:rsid w:val="00574BA5"/>
    <w:rsid w:val="00574CC2"/>
    <w:rsid w:val="00575B75"/>
    <w:rsid w:val="0057606D"/>
    <w:rsid w:val="00581292"/>
    <w:rsid w:val="005822A9"/>
    <w:rsid w:val="00582F91"/>
    <w:rsid w:val="00583578"/>
    <w:rsid w:val="00583C09"/>
    <w:rsid w:val="005842E1"/>
    <w:rsid w:val="0058475C"/>
    <w:rsid w:val="00584DF2"/>
    <w:rsid w:val="00585CD3"/>
    <w:rsid w:val="00587F29"/>
    <w:rsid w:val="00590B4B"/>
    <w:rsid w:val="00591649"/>
    <w:rsid w:val="00591F9C"/>
    <w:rsid w:val="00592586"/>
    <w:rsid w:val="00593C4A"/>
    <w:rsid w:val="00596F3D"/>
    <w:rsid w:val="005974BD"/>
    <w:rsid w:val="005A0D2E"/>
    <w:rsid w:val="005A0F86"/>
    <w:rsid w:val="005A2816"/>
    <w:rsid w:val="005A2950"/>
    <w:rsid w:val="005A2D65"/>
    <w:rsid w:val="005A31D8"/>
    <w:rsid w:val="005A4C25"/>
    <w:rsid w:val="005A4F1C"/>
    <w:rsid w:val="005A5235"/>
    <w:rsid w:val="005A6A48"/>
    <w:rsid w:val="005A716A"/>
    <w:rsid w:val="005B068F"/>
    <w:rsid w:val="005B0AEC"/>
    <w:rsid w:val="005B12EA"/>
    <w:rsid w:val="005B2400"/>
    <w:rsid w:val="005B2977"/>
    <w:rsid w:val="005B2A73"/>
    <w:rsid w:val="005B2D09"/>
    <w:rsid w:val="005B2F46"/>
    <w:rsid w:val="005B38BE"/>
    <w:rsid w:val="005B3A85"/>
    <w:rsid w:val="005B3BC7"/>
    <w:rsid w:val="005B4C50"/>
    <w:rsid w:val="005B610B"/>
    <w:rsid w:val="005B63B0"/>
    <w:rsid w:val="005C1968"/>
    <w:rsid w:val="005C3F5D"/>
    <w:rsid w:val="005C5B83"/>
    <w:rsid w:val="005C6E69"/>
    <w:rsid w:val="005C7462"/>
    <w:rsid w:val="005D05EB"/>
    <w:rsid w:val="005D0B7B"/>
    <w:rsid w:val="005D281A"/>
    <w:rsid w:val="005D292B"/>
    <w:rsid w:val="005D2D1A"/>
    <w:rsid w:val="005D31C3"/>
    <w:rsid w:val="005D36EE"/>
    <w:rsid w:val="005D3E1B"/>
    <w:rsid w:val="005D47A1"/>
    <w:rsid w:val="005D4C9C"/>
    <w:rsid w:val="005D5220"/>
    <w:rsid w:val="005D6729"/>
    <w:rsid w:val="005D6C5A"/>
    <w:rsid w:val="005D7F84"/>
    <w:rsid w:val="005E28A3"/>
    <w:rsid w:val="005E392E"/>
    <w:rsid w:val="005E4125"/>
    <w:rsid w:val="005E43E6"/>
    <w:rsid w:val="005E6B15"/>
    <w:rsid w:val="005E7157"/>
    <w:rsid w:val="005E7247"/>
    <w:rsid w:val="005E7286"/>
    <w:rsid w:val="005E73A3"/>
    <w:rsid w:val="005E78D8"/>
    <w:rsid w:val="005E7E9A"/>
    <w:rsid w:val="005F049C"/>
    <w:rsid w:val="005F0C97"/>
    <w:rsid w:val="005F2224"/>
    <w:rsid w:val="005F2532"/>
    <w:rsid w:val="005F2F7D"/>
    <w:rsid w:val="005F3727"/>
    <w:rsid w:val="005F3ABA"/>
    <w:rsid w:val="005F5869"/>
    <w:rsid w:val="005F599F"/>
    <w:rsid w:val="005F6112"/>
    <w:rsid w:val="005F6927"/>
    <w:rsid w:val="005F7CA5"/>
    <w:rsid w:val="00600D7A"/>
    <w:rsid w:val="006014FF"/>
    <w:rsid w:val="00602227"/>
    <w:rsid w:val="00603BFC"/>
    <w:rsid w:val="00606BF3"/>
    <w:rsid w:val="006072A9"/>
    <w:rsid w:val="00611130"/>
    <w:rsid w:val="00611297"/>
    <w:rsid w:val="0061219C"/>
    <w:rsid w:val="0061290D"/>
    <w:rsid w:val="0061292F"/>
    <w:rsid w:val="00612C3F"/>
    <w:rsid w:val="00613C58"/>
    <w:rsid w:val="00614C6B"/>
    <w:rsid w:val="006152BE"/>
    <w:rsid w:val="00616C36"/>
    <w:rsid w:val="00617781"/>
    <w:rsid w:val="006202CD"/>
    <w:rsid w:val="00620A27"/>
    <w:rsid w:val="00621753"/>
    <w:rsid w:val="00621996"/>
    <w:rsid w:val="00621E55"/>
    <w:rsid w:val="00622AEB"/>
    <w:rsid w:val="0062387F"/>
    <w:rsid w:val="00623ABB"/>
    <w:rsid w:val="006240D0"/>
    <w:rsid w:val="006252BE"/>
    <w:rsid w:val="0062535A"/>
    <w:rsid w:val="006258E7"/>
    <w:rsid w:val="00625DE9"/>
    <w:rsid w:val="00626AAE"/>
    <w:rsid w:val="006275AE"/>
    <w:rsid w:val="00630F56"/>
    <w:rsid w:val="006315D2"/>
    <w:rsid w:val="00631973"/>
    <w:rsid w:val="0063219F"/>
    <w:rsid w:val="00632A91"/>
    <w:rsid w:val="00632B98"/>
    <w:rsid w:val="00632C9C"/>
    <w:rsid w:val="00633874"/>
    <w:rsid w:val="00634892"/>
    <w:rsid w:val="00635808"/>
    <w:rsid w:val="006367CD"/>
    <w:rsid w:val="0063714F"/>
    <w:rsid w:val="00637909"/>
    <w:rsid w:val="00640768"/>
    <w:rsid w:val="00641752"/>
    <w:rsid w:val="00641C38"/>
    <w:rsid w:val="006426B9"/>
    <w:rsid w:val="00643425"/>
    <w:rsid w:val="006443DD"/>
    <w:rsid w:val="00645378"/>
    <w:rsid w:val="00645BE8"/>
    <w:rsid w:val="0064730F"/>
    <w:rsid w:val="00650376"/>
    <w:rsid w:val="00650902"/>
    <w:rsid w:val="00650BFE"/>
    <w:rsid w:val="006534E8"/>
    <w:rsid w:val="00654D2C"/>
    <w:rsid w:val="00655D7B"/>
    <w:rsid w:val="00656212"/>
    <w:rsid w:val="00656863"/>
    <w:rsid w:val="0065719F"/>
    <w:rsid w:val="006571C0"/>
    <w:rsid w:val="00657B21"/>
    <w:rsid w:val="00657B6D"/>
    <w:rsid w:val="0066170A"/>
    <w:rsid w:val="006619D8"/>
    <w:rsid w:val="00661A72"/>
    <w:rsid w:val="00661B57"/>
    <w:rsid w:val="0066292B"/>
    <w:rsid w:val="00663644"/>
    <w:rsid w:val="00664E89"/>
    <w:rsid w:val="0066540C"/>
    <w:rsid w:val="00665579"/>
    <w:rsid w:val="00666C71"/>
    <w:rsid w:val="00666D30"/>
    <w:rsid w:val="00667FFB"/>
    <w:rsid w:val="0067070D"/>
    <w:rsid w:val="0067146A"/>
    <w:rsid w:val="006714B7"/>
    <w:rsid w:val="006715A0"/>
    <w:rsid w:val="00673E21"/>
    <w:rsid w:val="00674160"/>
    <w:rsid w:val="00674A63"/>
    <w:rsid w:val="00674DE1"/>
    <w:rsid w:val="0067613D"/>
    <w:rsid w:val="00676BE6"/>
    <w:rsid w:val="006775BC"/>
    <w:rsid w:val="006779F8"/>
    <w:rsid w:val="00677B97"/>
    <w:rsid w:val="00680076"/>
    <w:rsid w:val="00680965"/>
    <w:rsid w:val="00680F89"/>
    <w:rsid w:val="00681225"/>
    <w:rsid w:val="006822FD"/>
    <w:rsid w:val="00682DEF"/>
    <w:rsid w:val="00683400"/>
    <w:rsid w:val="006844E3"/>
    <w:rsid w:val="0068566B"/>
    <w:rsid w:val="006858E8"/>
    <w:rsid w:val="0068607D"/>
    <w:rsid w:val="006878B8"/>
    <w:rsid w:val="006879CE"/>
    <w:rsid w:val="00690F2B"/>
    <w:rsid w:val="006910BD"/>
    <w:rsid w:val="00691E78"/>
    <w:rsid w:val="00692A2D"/>
    <w:rsid w:val="00693087"/>
    <w:rsid w:val="0069484E"/>
    <w:rsid w:val="0069494E"/>
    <w:rsid w:val="006A0B84"/>
    <w:rsid w:val="006A1A48"/>
    <w:rsid w:val="006A283B"/>
    <w:rsid w:val="006A2911"/>
    <w:rsid w:val="006A3075"/>
    <w:rsid w:val="006A3E06"/>
    <w:rsid w:val="006A4012"/>
    <w:rsid w:val="006A437E"/>
    <w:rsid w:val="006A494C"/>
    <w:rsid w:val="006A4B92"/>
    <w:rsid w:val="006A5753"/>
    <w:rsid w:val="006B01FC"/>
    <w:rsid w:val="006B02A9"/>
    <w:rsid w:val="006B1C4C"/>
    <w:rsid w:val="006B1DEF"/>
    <w:rsid w:val="006B3067"/>
    <w:rsid w:val="006B3846"/>
    <w:rsid w:val="006B432C"/>
    <w:rsid w:val="006B5268"/>
    <w:rsid w:val="006B669C"/>
    <w:rsid w:val="006B73C3"/>
    <w:rsid w:val="006C2114"/>
    <w:rsid w:val="006C2F8A"/>
    <w:rsid w:val="006C362E"/>
    <w:rsid w:val="006C420E"/>
    <w:rsid w:val="006C46C8"/>
    <w:rsid w:val="006C61F1"/>
    <w:rsid w:val="006C6819"/>
    <w:rsid w:val="006C7CA7"/>
    <w:rsid w:val="006D0525"/>
    <w:rsid w:val="006D0560"/>
    <w:rsid w:val="006D0ACE"/>
    <w:rsid w:val="006D0B74"/>
    <w:rsid w:val="006D1866"/>
    <w:rsid w:val="006D230E"/>
    <w:rsid w:val="006D32C9"/>
    <w:rsid w:val="006D35BB"/>
    <w:rsid w:val="006D3FF4"/>
    <w:rsid w:val="006D593F"/>
    <w:rsid w:val="006D5D50"/>
    <w:rsid w:val="006D676E"/>
    <w:rsid w:val="006D6B32"/>
    <w:rsid w:val="006D6E1E"/>
    <w:rsid w:val="006D73D6"/>
    <w:rsid w:val="006E0086"/>
    <w:rsid w:val="006E0597"/>
    <w:rsid w:val="006E11F4"/>
    <w:rsid w:val="006E30AE"/>
    <w:rsid w:val="006E30BC"/>
    <w:rsid w:val="006E3705"/>
    <w:rsid w:val="006E4344"/>
    <w:rsid w:val="006E53C4"/>
    <w:rsid w:val="006E5F73"/>
    <w:rsid w:val="006E69A9"/>
    <w:rsid w:val="006E7591"/>
    <w:rsid w:val="006E7913"/>
    <w:rsid w:val="006E7944"/>
    <w:rsid w:val="006F0278"/>
    <w:rsid w:val="006F070F"/>
    <w:rsid w:val="006F072C"/>
    <w:rsid w:val="006F1AAE"/>
    <w:rsid w:val="006F1DB4"/>
    <w:rsid w:val="006F1EAA"/>
    <w:rsid w:val="006F2FDA"/>
    <w:rsid w:val="006F3934"/>
    <w:rsid w:val="006F3958"/>
    <w:rsid w:val="006F3A43"/>
    <w:rsid w:val="006F4269"/>
    <w:rsid w:val="006F4425"/>
    <w:rsid w:val="006F51FE"/>
    <w:rsid w:val="006F6453"/>
    <w:rsid w:val="006F7427"/>
    <w:rsid w:val="006F74FA"/>
    <w:rsid w:val="006F77BA"/>
    <w:rsid w:val="006F7DAA"/>
    <w:rsid w:val="0070014B"/>
    <w:rsid w:val="00700645"/>
    <w:rsid w:val="00700BCC"/>
    <w:rsid w:val="0070114F"/>
    <w:rsid w:val="00702CE8"/>
    <w:rsid w:val="007034C7"/>
    <w:rsid w:val="00703A2F"/>
    <w:rsid w:val="00704FD3"/>
    <w:rsid w:val="007059A8"/>
    <w:rsid w:val="007066DB"/>
    <w:rsid w:val="00706E93"/>
    <w:rsid w:val="007110DE"/>
    <w:rsid w:val="00711861"/>
    <w:rsid w:val="00711B49"/>
    <w:rsid w:val="007133D9"/>
    <w:rsid w:val="00714CF6"/>
    <w:rsid w:val="00715A1F"/>
    <w:rsid w:val="007179DC"/>
    <w:rsid w:val="007209A0"/>
    <w:rsid w:val="0072110B"/>
    <w:rsid w:val="007214AF"/>
    <w:rsid w:val="00722694"/>
    <w:rsid w:val="00722D22"/>
    <w:rsid w:val="0072311D"/>
    <w:rsid w:val="00723BFC"/>
    <w:rsid w:val="007250A6"/>
    <w:rsid w:val="007254F4"/>
    <w:rsid w:val="0072567C"/>
    <w:rsid w:val="00725B7A"/>
    <w:rsid w:val="007266CF"/>
    <w:rsid w:val="00727B66"/>
    <w:rsid w:val="007334DE"/>
    <w:rsid w:val="00733A09"/>
    <w:rsid w:val="007350F3"/>
    <w:rsid w:val="00736AC0"/>
    <w:rsid w:val="00736EC9"/>
    <w:rsid w:val="00740B7F"/>
    <w:rsid w:val="007415EF"/>
    <w:rsid w:val="00741CE3"/>
    <w:rsid w:val="00743244"/>
    <w:rsid w:val="00743514"/>
    <w:rsid w:val="0074383F"/>
    <w:rsid w:val="00744624"/>
    <w:rsid w:val="00745295"/>
    <w:rsid w:val="00746988"/>
    <w:rsid w:val="0074709A"/>
    <w:rsid w:val="00747D7F"/>
    <w:rsid w:val="0075179D"/>
    <w:rsid w:val="00751844"/>
    <w:rsid w:val="00751978"/>
    <w:rsid w:val="00751A6C"/>
    <w:rsid w:val="00751E57"/>
    <w:rsid w:val="00751FCC"/>
    <w:rsid w:val="00752EF2"/>
    <w:rsid w:val="007530D7"/>
    <w:rsid w:val="007547C2"/>
    <w:rsid w:val="007549B4"/>
    <w:rsid w:val="00754D19"/>
    <w:rsid w:val="00755769"/>
    <w:rsid w:val="00755A57"/>
    <w:rsid w:val="007563EC"/>
    <w:rsid w:val="00756836"/>
    <w:rsid w:val="00760322"/>
    <w:rsid w:val="0076057A"/>
    <w:rsid w:val="0076070E"/>
    <w:rsid w:val="00760E9C"/>
    <w:rsid w:val="007616A6"/>
    <w:rsid w:val="007617C3"/>
    <w:rsid w:val="007622E3"/>
    <w:rsid w:val="00762885"/>
    <w:rsid w:val="007635AC"/>
    <w:rsid w:val="007636F5"/>
    <w:rsid w:val="00765426"/>
    <w:rsid w:val="00765686"/>
    <w:rsid w:val="007662B5"/>
    <w:rsid w:val="0076726D"/>
    <w:rsid w:val="00767540"/>
    <w:rsid w:val="007675AD"/>
    <w:rsid w:val="00767E7C"/>
    <w:rsid w:val="00770705"/>
    <w:rsid w:val="00770E5D"/>
    <w:rsid w:val="007714CF"/>
    <w:rsid w:val="00772D7D"/>
    <w:rsid w:val="00772E8F"/>
    <w:rsid w:val="00775A6A"/>
    <w:rsid w:val="00776023"/>
    <w:rsid w:val="007766AB"/>
    <w:rsid w:val="00776EDB"/>
    <w:rsid w:val="00780E05"/>
    <w:rsid w:val="0078111C"/>
    <w:rsid w:val="00782214"/>
    <w:rsid w:val="007827C4"/>
    <w:rsid w:val="007828C5"/>
    <w:rsid w:val="00783FE9"/>
    <w:rsid w:val="00784028"/>
    <w:rsid w:val="00784131"/>
    <w:rsid w:val="00784E22"/>
    <w:rsid w:val="00785247"/>
    <w:rsid w:val="0078550C"/>
    <w:rsid w:val="00785ECF"/>
    <w:rsid w:val="0078723B"/>
    <w:rsid w:val="00787623"/>
    <w:rsid w:val="007903D5"/>
    <w:rsid w:val="007909C2"/>
    <w:rsid w:val="00791A7D"/>
    <w:rsid w:val="00792192"/>
    <w:rsid w:val="0079249C"/>
    <w:rsid w:val="007928BF"/>
    <w:rsid w:val="0079291D"/>
    <w:rsid w:val="00792F91"/>
    <w:rsid w:val="00796813"/>
    <w:rsid w:val="00796EA0"/>
    <w:rsid w:val="0079746A"/>
    <w:rsid w:val="007A0485"/>
    <w:rsid w:val="007A1CC7"/>
    <w:rsid w:val="007A23F0"/>
    <w:rsid w:val="007A321C"/>
    <w:rsid w:val="007A3425"/>
    <w:rsid w:val="007A457B"/>
    <w:rsid w:val="007A59E5"/>
    <w:rsid w:val="007A632A"/>
    <w:rsid w:val="007A647F"/>
    <w:rsid w:val="007A6FF2"/>
    <w:rsid w:val="007A7313"/>
    <w:rsid w:val="007B241C"/>
    <w:rsid w:val="007B2848"/>
    <w:rsid w:val="007B2D57"/>
    <w:rsid w:val="007B34FC"/>
    <w:rsid w:val="007B42CF"/>
    <w:rsid w:val="007B46D0"/>
    <w:rsid w:val="007B4ED0"/>
    <w:rsid w:val="007B4FE7"/>
    <w:rsid w:val="007B560F"/>
    <w:rsid w:val="007B5FB2"/>
    <w:rsid w:val="007B6AA3"/>
    <w:rsid w:val="007B7025"/>
    <w:rsid w:val="007B7705"/>
    <w:rsid w:val="007C0655"/>
    <w:rsid w:val="007C09D8"/>
    <w:rsid w:val="007C15E3"/>
    <w:rsid w:val="007C182B"/>
    <w:rsid w:val="007C3845"/>
    <w:rsid w:val="007C4C9A"/>
    <w:rsid w:val="007C504E"/>
    <w:rsid w:val="007C66B1"/>
    <w:rsid w:val="007C6BC2"/>
    <w:rsid w:val="007C6F19"/>
    <w:rsid w:val="007C7130"/>
    <w:rsid w:val="007D300F"/>
    <w:rsid w:val="007D3DBA"/>
    <w:rsid w:val="007D67C8"/>
    <w:rsid w:val="007D6F82"/>
    <w:rsid w:val="007D72EE"/>
    <w:rsid w:val="007D7BA7"/>
    <w:rsid w:val="007E01C6"/>
    <w:rsid w:val="007E02A6"/>
    <w:rsid w:val="007E0B17"/>
    <w:rsid w:val="007E0C73"/>
    <w:rsid w:val="007E1177"/>
    <w:rsid w:val="007E17DB"/>
    <w:rsid w:val="007E50F9"/>
    <w:rsid w:val="007E7419"/>
    <w:rsid w:val="007F09C6"/>
    <w:rsid w:val="007F106D"/>
    <w:rsid w:val="007F1EE1"/>
    <w:rsid w:val="007F1EEF"/>
    <w:rsid w:val="007F2A4D"/>
    <w:rsid w:val="007F4488"/>
    <w:rsid w:val="007F467E"/>
    <w:rsid w:val="007F5F80"/>
    <w:rsid w:val="007F64B2"/>
    <w:rsid w:val="007F6DD5"/>
    <w:rsid w:val="007F73FE"/>
    <w:rsid w:val="0080001A"/>
    <w:rsid w:val="008000C2"/>
    <w:rsid w:val="008002EF"/>
    <w:rsid w:val="00800E40"/>
    <w:rsid w:val="00801B1E"/>
    <w:rsid w:val="008020FF"/>
    <w:rsid w:val="0080255C"/>
    <w:rsid w:val="00802DA6"/>
    <w:rsid w:val="008038DB"/>
    <w:rsid w:val="00805363"/>
    <w:rsid w:val="00807B79"/>
    <w:rsid w:val="00811170"/>
    <w:rsid w:val="00811582"/>
    <w:rsid w:val="00811B3A"/>
    <w:rsid w:val="0081278D"/>
    <w:rsid w:val="00813308"/>
    <w:rsid w:val="00813AC7"/>
    <w:rsid w:val="00813C66"/>
    <w:rsid w:val="00813D7F"/>
    <w:rsid w:val="008147FC"/>
    <w:rsid w:val="008160C7"/>
    <w:rsid w:val="00816E7D"/>
    <w:rsid w:val="00817F5A"/>
    <w:rsid w:val="0082039A"/>
    <w:rsid w:val="00821485"/>
    <w:rsid w:val="008217D8"/>
    <w:rsid w:val="008219D4"/>
    <w:rsid w:val="00822866"/>
    <w:rsid w:val="00822C7D"/>
    <w:rsid w:val="00824BDA"/>
    <w:rsid w:val="008259D2"/>
    <w:rsid w:val="00826598"/>
    <w:rsid w:val="008266AF"/>
    <w:rsid w:val="0082678C"/>
    <w:rsid w:val="00827BB3"/>
    <w:rsid w:val="008306B7"/>
    <w:rsid w:val="008308F0"/>
    <w:rsid w:val="00831413"/>
    <w:rsid w:val="00831D8D"/>
    <w:rsid w:val="00832170"/>
    <w:rsid w:val="008337E2"/>
    <w:rsid w:val="008338FC"/>
    <w:rsid w:val="00834090"/>
    <w:rsid w:val="008352D8"/>
    <w:rsid w:val="0083576D"/>
    <w:rsid w:val="00835EFB"/>
    <w:rsid w:val="00836AE8"/>
    <w:rsid w:val="0083703D"/>
    <w:rsid w:val="008379FF"/>
    <w:rsid w:val="0084074B"/>
    <w:rsid w:val="008415DB"/>
    <w:rsid w:val="00841906"/>
    <w:rsid w:val="0084250F"/>
    <w:rsid w:val="0084294F"/>
    <w:rsid w:val="0084367C"/>
    <w:rsid w:val="00843A31"/>
    <w:rsid w:val="00845B83"/>
    <w:rsid w:val="00846148"/>
    <w:rsid w:val="00846419"/>
    <w:rsid w:val="0084776A"/>
    <w:rsid w:val="00847BD2"/>
    <w:rsid w:val="008512BC"/>
    <w:rsid w:val="00852C4C"/>
    <w:rsid w:val="008533B1"/>
    <w:rsid w:val="00853E1F"/>
    <w:rsid w:val="0085460A"/>
    <w:rsid w:val="00854DC6"/>
    <w:rsid w:val="0085559C"/>
    <w:rsid w:val="00860C81"/>
    <w:rsid w:val="00862AAC"/>
    <w:rsid w:val="008632F4"/>
    <w:rsid w:val="00864585"/>
    <w:rsid w:val="00865E8E"/>
    <w:rsid w:val="00866B87"/>
    <w:rsid w:val="0087008F"/>
    <w:rsid w:val="0087053D"/>
    <w:rsid w:val="008705AE"/>
    <w:rsid w:val="00870CB2"/>
    <w:rsid w:val="008715C3"/>
    <w:rsid w:val="00872109"/>
    <w:rsid w:val="00872371"/>
    <w:rsid w:val="0087254E"/>
    <w:rsid w:val="008726EC"/>
    <w:rsid w:val="00874ACA"/>
    <w:rsid w:val="00880D0E"/>
    <w:rsid w:val="00881E0B"/>
    <w:rsid w:val="00881EF9"/>
    <w:rsid w:val="008827B6"/>
    <w:rsid w:val="00884425"/>
    <w:rsid w:val="00884C2E"/>
    <w:rsid w:val="00884E35"/>
    <w:rsid w:val="00884F04"/>
    <w:rsid w:val="00887501"/>
    <w:rsid w:val="0088788A"/>
    <w:rsid w:val="00893797"/>
    <w:rsid w:val="00894A5E"/>
    <w:rsid w:val="00895225"/>
    <w:rsid w:val="0089729A"/>
    <w:rsid w:val="008A0118"/>
    <w:rsid w:val="008A1BBC"/>
    <w:rsid w:val="008A25AF"/>
    <w:rsid w:val="008A39BC"/>
    <w:rsid w:val="008A40CD"/>
    <w:rsid w:val="008A47E9"/>
    <w:rsid w:val="008A4EFB"/>
    <w:rsid w:val="008A53AB"/>
    <w:rsid w:val="008A5413"/>
    <w:rsid w:val="008A5B73"/>
    <w:rsid w:val="008A7B36"/>
    <w:rsid w:val="008B070E"/>
    <w:rsid w:val="008B1164"/>
    <w:rsid w:val="008B226B"/>
    <w:rsid w:val="008B24CA"/>
    <w:rsid w:val="008B24FA"/>
    <w:rsid w:val="008B3804"/>
    <w:rsid w:val="008B3F95"/>
    <w:rsid w:val="008B4E23"/>
    <w:rsid w:val="008B507F"/>
    <w:rsid w:val="008B569B"/>
    <w:rsid w:val="008B5C84"/>
    <w:rsid w:val="008B631B"/>
    <w:rsid w:val="008B64CF"/>
    <w:rsid w:val="008B7570"/>
    <w:rsid w:val="008C08DC"/>
    <w:rsid w:val="008C0F33"/>
    <w:rsid w:val="008C1199"/>
    <w:rsid w:val="008C1834"/>
    <w:rsid w:val="008C20DC"/>
    <w:rsid w:val="008C2308"/>
    <w:rsid w:val="008C39BA"/>
    <w:rsid w:val="008C3A18"/>
    <w:rsid w:val="008C6B38"/>
    <w:rsid w:val="008C6FE4"/>
    <w:rsid w:val="008D09EA"/>
    <w:rsid w:val="008D0FCF"/>
    <w:rsid w:val="008D1685"/>
    <w:rsid w:val="008D2179"/>
    <w:rsid w:val="008D2488"/>
    <w:rsid w:val="008D30FC"/>
    <w:rsid w:val="008D3252"/>
    <w:rsid w:val="008D3EBE"/>
    <w:rsid w:val="008D42E1"/>
    <w:rsid w:val="008D4FF8"/>
    <w:rsid w:val="008D51B3"/>
    <w:rsid w:val="008D5F17"/>
    <w:rsid w:val="008D60E4"/>
    <w:rsid w:val="008D6D43"/>
    <w:rsid w:val="008D7663"/>
    <w:rsid w:val="008D797A"/>
    <w:rsid w:val="008D7AB5"/>
    <w:rsid w:val="008E0833"/>
    <w:rsid w:val="008E1AFB"/>
    <w:rsid w:val="008E1CA1"/>
    <w:rsid w:val="008E2129"/>
    <w:rsid w:val="008E2B7E"/>
    <w:rsid w:val="008E36AB"/>
    <w:rsid w:val="008E4308"/>
    <w:rsid w:val="008E45EB"/>
    <w:rsid w:val="008E4770"/>
    <w:rsid w:val="008E5E46"/>
    <w:rsid w:val="008E5EB2"/>
    <w:rsid w:val="008E66F6"/>
    <w:rsid w:val="008E74DF"/>
    <w:rsid w:val="008F060F"/>
    <w:rsid w:val="008F0C81"/>
    <w:rsid w:val="008F12E9"/>
    <w:rsid w:val="008F1B5B"/>
    <w:rsid w:val="008F2CBB"/>
    <w:rsid w:val="008F32F4"/>
    <w:rsid w:val="008F36EA"/>
    <w:rsid w:val="008F4696"/>
    <w:rsid w:val="008F48F4"/>
    <w:rsid w:val="00900391"/>
    <w:rsid w:val="00900C8F"/>
    <w:rsid w:val="00900EFC"/>
    <w:rsid w:val="00900FD1"/>
    <w:rsid w:val="009016B1"/>
    <w:rsid w:val="00902BA0"/>
    <w:rsid w:val="0090337E"/>
    <w:rsid w:val="009046FC"/>
    <w:rsid w:val="009049FA"/>
    <w:rsid w:val="009056E8"/>
    <w:rsid w:val="0090597E"/>
    <w:rsid w:val="009068FE"/>
    <w:rsid w:val="00906B98"/>
    <w:rsid w:val="009071FC"/>
    <w:rsid w:val="00907859"/>
    <w:rsid w:val="00907B4B"/>
    <w:rsid w:val="00910310"/>
    <w:rsid w:val="00913390"/>
    <w:rsid w:val="00914D3A"/>
    <w:rsid w:val="00914E62"/>
    <w:rsid w:val="00915622"/>
    <w:rsid w:val="0091756C"/>
    <w:rsid w:val="00917BBB"/>
    <w:rsid w:val="00917D1C"/>
    <w:rsid w:val="00920185"/>
    <w:rsid w:val="009207D7"/>
    <w:rsid w:val="009217DE"/>
    <w:rsid w:val="00921D39"/>
    <w:rsid w:val="009264B6"/>
    <w:rsid w:val="00927178"/>
    <w:rsid w:val="00927F7E"/>
    <w:rsid w:val="00930E2B"/>
    <w:rsid w:val="00931F7D"/>
    <w:rsid w:val="009321D5"/>
    <w:rsid w:val="00932E9D"/>
    <w:rsid w:val="00933205"/>
    <w:rsid w:val="009336A6"/>
    <w:rsid w:val="0093504E"/>
    <w:rsid w:val="0093537A"/>
    <w:rsid w:val="00936818"/>
    <w:rsid w:val="00940DBF"/>
    <w:rsid w:val="00940F84"/>
    <w:rsid w:val="009416E6"/>
    <w:rsid w:val="0094233F"/>
    <w:rsid w:val="009429A0"/>
    <w:rsid w:val="0094446C"/>
    <w:rsid w:val="0094462D"/>
    <w:rsid w:val="009450F3"/>
    <w:rsid w:val="0094565E"/>
    <w:rsid w:val="009456E6"/>
    <w:rsid w:val="00945DFE"/>
    <w:rsid w:val="00946644"/>
    <w:rsid w:val="009477C3"/>
    <w:rsid w:val="00947BC8"/>
    <w:rsid w:val="00950446"/>
    <w:rsid w:val="009504A7"/>
    <w:rsid w:val="009529AA"/>
    <w:rsid w:val="009541FA"/>
    <w:rsid w:val="00954C0B"/>
    <w:rsid w:val="009560DF"/>
    <w:rsid w:val="00956443"/>
    <w:rsid w:val="00960156"/>
    <w:rsid w:val="009606AE"/>
    <w:rsid w:val="0096092B"/>
    <w:rsid w:val="009609BC"/>
    <w:rsid w:val="0096146F"/>
    <w:rsid w:val="00961D5F"/>
    <w:rsid w:val="009639AC"/>
    <w:rsid w:val="00963FFF"/>
    <w:rsid w:val="009642A9"/>
    <w:rsid w:val="00964688"/>
    <w:rsid w:val="009653F4"/>
    <w:rsid w:val="00965BD4"/>
    <w:rsid w:val="00966478"/>
    <w:rsid w:val="00966588"/>
    <w:rsid w:val="00966A26"/>
    <w:rsid w:val="0096725F"/>
    <w:rsid w:val="00970615"/>
    <w:rsid w:val="00972EEA"/>
    <w:rsid w:val="00975453"/>
    <w:rsid w:val="009764BA"/>
    <w:rsid w:val="009802B3"/>
    <w:rsid w:val="00981C9A"/>
    <w:rsid w:val="00983A3A"/>
    <w:rsid w:val="00983A71"/>
    <w:rsid w:val="00985CEB"/>
    <w:rsid w:val="00985E75"/>
    <w:rsid w:val="0098744C"/>
    <w:rsid w:val="009876EB"/>
    <w:rsid w:val="0099025B"/>
    <w:rsid w:val="00991C80"/>
    <w:rsid w:val="00992316"/>
    <w:rsid w:val="009939DD"/>
    <w:rsid w:val="00993C7D"/>
    <w:rsid w:val="00993F05"/>
    <w:rsid w:val="00994146"/>
    <w:rsid w:val="00994F38"/>
    <w:rsid w:val="00995031"/>
    <w:rsid w:val="00995056"/>
    <w:rsid w:val="009953EC"/>
    <w:rsid w:val="00995458"/>
    <w:rsid w:val="00996626"/>
    <w:rsid w:val="00997DC0"/>
    <w:rsid w:val="009A168F"/>
    <w:rsid w:val="009A2042"/>
    <w:rsid w:val="009A2A4F"/>
    <w:rsid w:val="009A312E"/>
    <w:rsid w:val="009A3552"/>
    <w:rsid w:val="009A37C2"/>
    <w:rsid w:val="009A4AFE"/>
    <w:rsid w:val="009A4F0D"/>
    <w:rsid w:val="009A5380"/>
    <w:rsid w:val="009A5E91"/>
    <w:rsid w:val="009A689F"/>
    <w:rsid w:val="009A6974"/>
    <w:rsid w:val="009A6DFF"/>
    <w:rsid w:val="009B0549"/>
    <w:rsid w:val="009B0CE2"/>
    <w:rsid w:val="009B11F9"/>
    <w:rsid w:val="009B216A"/>
    <w:rsid w:val="009B28A1"/>
    <w:rsid w:val="009B3F86"/>
    <w:rsid w:val="009B5417"/>
    <w:rsid w:val="009B630B"/>
    <w:rsid w:val="009B6C56"/>
    <w:rsid w:val="009B75B0"/>
    <w:rsid w:val="009B78C8"/>
    <w:rsid w:val="009B7D15"/>
    <w:rsid w:val="009C0F7D"/>
    <w:rsid w:val="009C1539"/>
    <w:rsid w:val="009C1702"/>
    <w:rsid w:val="009C2272"/>
    <w:rsid w:val="009C3523"/>
    <w:rsid w:val="009C4355"/>
    <w:rsid w:val="009C43D6"/>
    <w:rsid w:val="009C4F06"/>
    <w:rsid w:val="009C4F4D"/>
    <w:rsid w:val="009C5C52"/>
    <w:rsid w:val="009C61C8"/>
    <w:rsid w:val="009C673B"/>
    <w:rsid w:val="009C68C6"/>
    <w:rsid w:val="009C7648"/>
    <w:rsid w:val="009C787F"/>
    <w:rsid w:val="009C7DD2"/>
    <w:rsid w:val="009D05AE"/>
    <w:rsid w:val="009D096F"/>
    <w:rsid w:val="009D15F2"/>
    <w:rsid w:val="009D27F6"/>
    <w:rsid w:val="009D2A1E"/>
    <w:rsid w:val="009D3159"/>
    <w:rsid w:val="009D3734"/>
    <w:rsid w:val="009D6B62"/>
    <w:rsid w:val="009D6F32"/>
    <w:rsid w:val="009D734C"/>
    <w:rsid w:val="009D745D"/>
    <w:rsid w:val="009D7EAF"/>
    <w:rsid w:val="009E219B"/>
    <w:rsid w:val="009E235A"/>
    <w:rsid w:val="009E236A"/>
    <w:rsid w:val="009E2DC2"/>
    <w:rsid w:val="009E31B5"/>
    <w:rsid w:val="009E3681"/>
    <w:rsid w:val="009E40E9"/>
    <w:rsid w:val="009E4389"/>
    <w:rsid w:val="009E6C07"/>
    <w:rsid w:val="009E6D34"/>
    <w:rsid w:val="009E7ED2"/>
    <w:rsid w:val="009F05A3"/>
    <w:rsid w:val="009F11E0"/>
    <w:rsid w:val="009F19DF"/>
    <w:rsid w:val="009F1F60"/>
    <w:rsid w:val="009F2A9D"/>
    <w:rsid w:val="009F4514"/>
    <w:rsid w:val="009F671A"/>
    <w:rsid w:val="009F7318"/>
    <w:rsid w:val="009F7E73"/>
    <w:rsid w:val="00A01660"/>
    <w:rsid w:val="00A01676"/>
    <w:rsid w:val="00A021A6"/>
    <w:rsid w:val="00A02C62"/>
    <w:rsid w:val="00A0304C"/>
    <w:rsid w:val="00A03693"/>
    <w:rsid w:val="00A03F97"/>
    <w:rsid w:val="00A046EF"/>
    <w:rsid w:val="00A04E32"/>
    <w:rsid w:val="00A0507B"/>
    <w:rsid w:val="00A05D1C"/>
    <w:rsid w:val="00A06454"/>
    <w:rsid w:val="00A073A6"/>
    <w:rsid w:val="00A10875"/>
    <w:rsid w:val="00A10DE7"/>
    <w:rsid w:val="00A138C1"/>
    <w:rsid w:val="00A147B4"/>
    <w:rsid w:val="00A14C58"/>
    <w:rsid w:val="00A14EFB"/>
    <w:rsid w:val="00A163FD"/>
    <w:rsid w:val="00A165B2"/>
    <w:rsid w:val="00A16D58"/>
    <w:rsid w:val="00A1761F"/>
    <w:rsid w:val="00A17DAB"/>
    <w:rsid w:val="00A20BD1"/>
    <w:rsid w:val="00A21406"/>
    <w:rsid w:val="00A217C3"/>
    <w:rsid w:val="00A22ACC"/>
    <w:rsid w:val="00A232D2"/>
    <w:rsid w:val="00A23850"/>
    <w:rsid w:val="00A23E4C"/>
    <w:rsid w:val="00A26E0A"/>
    <w:rsid w:val="00A31DD6"/>
    <w:rsid w:val="00A3247A"/>
    <w:rsid w:val="00A3260C"/>
    <w:rsid w:val="00A3266E"/>
    <w:rsid w:val="00A334FA"/>
    <w:rsid w:val="00A33673"/>
    <w:rsid w:val="00A35115"/>
    <w:rsid w:val="00A352AB"/>
    <w:rsid w:val="00A358AB"/>
    <w:rsid w:val="00A36908"/>
    <w:rsid w:val="00A370C8"/>
    <w:rsid w:val="00A37105"/>
    <w:rsid w:val="00A40F28"/>
    <w:rsid w:val="00A41EA8"/>
    <w:rsid w:val="00A41EE3"/>
    <w:rsid w:val="00A422F2"/>
    <w:rsid w:val="00A42BC2"/>
    <w:rsid w:val="00A432E9"/>
    <w:rsid w:val="00A4346C"/>
    <w:rsid w:val="00A43623"/>
    <w:rsid w:val="00A44C2B"/>
    <w:rsid w:val="00A44D27"/>
    <w:rsid w:val="00A450C6"/>
    <w:rsid w:val="00A460F5"/>
    <w:rsid w:val="00A465E1"/>
    <w:rsid w:val="00A46E1B"/>
    <w:rsid w:val="00A472EB"/>
    <w:rsid w:val="00A51197"/>
    <w:rsid w:val="00A51327"/>
    <w:rsid w:val="00A5222A"/>
    <w:rsid w:val="00A53A21"/>
    <w:rsid w:val="00A53C22"/>
    <w:rsid w:val="00A54259"/>
    <w:rsid w:val="00A5563B"/>
    <w:rsid w:val="00A56A60"/>
    <w:rsid w:val="00A56C80"/>
    <w:rsid w:val="00A56C84"/>
    <w:rsid w:val="00A56DFA"/>
    <w:rsid w:val="00A57D46"/>
    <w:rsid w:val="00A61A4B"/>
    <w:rsid w:val="00A62025"/>
    <w:rsid w:val="00A62F4A"/>
    <w:rsid w:val="00A64AB7"/>
    <w:rsid w:val="00A64B27"/>
    <w:rsid w:val="00A66687"/>
    <w:rsid w:val="00A668CE"/>
    <w:rsid w:val="00A66EC5"/>
    <w:rsid w:val="00A66F63"/>
    <w:rsid w:val="00A6718E"/>
    <w:rsid w:val="00A67F74"/>
    <w:rsid w:val="00A71371"/>
    <w:rsid w:val="00A72087"/>
    <w:rsid w:val="00A720A4"/>
    <w:rsid w:val="00A7325F"/>
    <w:rsid w:val="00A73B47"/>
    <w:rsid w:val="00A73E22"/>
    <w:rsid w:val="00A74F6E"/>
    <w:rsid w:val="00A76D0F"/>
    <w:rsid w:val="00A77F91"/>
    <w:rsid w:val="00A8677E"/>
    <w:rsid w:val="00A8731D"/>
    <w:rsid w:val="00A87639"/>
    <w:rsid w:val="00A87A73"/>
    <w:rsid w:val="00A90119"/>
    <w:rsid w:val="00A901D5"/>
    <w:rsid w:val="00A906E2"/>
    <w:rsid w:val="00A90C48"/>
    <w:rsid w:val="00A9107E"/>
    <w:rsid w:val="00A914D2"/>
    <w:rsid w:val="00A9178D"/>
    <w:rsid w:val="00A91D3E"/>
    <w:rsid w:val="00A92093"/>
    <w:rsid w:val="00A9290C"/>
    <w:rsid w:val="00A9393C"/>
    <w:rsid w:val="00A9509D"/>
    <w:rsid w:val="00A9697C"/>
    <w:rsid w:val="00A9726E"/>
    <w:rsid w:val="00A97950"/>
    <w:rsid w:val="00AA1408"/>
    <w:rsid w:val="00AA233E"/>
    <w:rsid w:val="00AA37B0"/>
    <w:rsid w:val="00AA3AE8"/>
    <w:rsid w:val="00AA619B"/>
    <w:rsid w:val="00AA62F9"/>
    <w:rsid w:val="00AA753A"/>
    <w:rsid w:val="00AB0631"/>
    <w:rsid w:val="00AB1498"/>
    <w:rsid w:val="00AB15C6"/>
    <w:rsid w:val="00AB1ED0"/>
    <w:rsid w:val="00AB2CA2"/>
    <w:rsid w:val="00AB3FEE"/>
    <w:rsid w:val="00AB58ED"/>
    <w:rsid w:val="00AB5D9A"/>
    <w:rsid w:val="00AB7375"/>
    <w:rsid w:val="00AB73DE"/>
    <w:rsid w:val="00AB78F6"/>
    <w:rsid w:val="00AC01F9"/>
    <w:rsid w:val="00AC103A"/>
    <w:rsid w:val="00AC129E"/>
    <w:rsid w:val="00AC1408"/>
    <w:rsid w:val="00AC4551"/>
    <w:rsid w:val="00AC4CAD"/>
    <w:rsid w:val="00AC4F8C"/>
    <w:rsid w:val="00AC511E"/>
    <w:rsid w:val="00AC5184"/>
    <w:rsid w:val="00AC5333"/>
    <w:rsid w:val="00AC5898"/>
    <w:rsid w:val="00AC5CE5"/>
    <w:rsid w:val="00AC7CF6"/>
    <w:rsid w:val="00AD0027"/>
    <w:rsid w:val="00AD0058"/>
    <w:rsid w:val="00AD04C5"/>
    <w:rsid w:val="00AD0A6D"/>
    <w:rsid w:val="00AD1280"/>
    <w:rsid w:val="00AD1A82"/>
    <w:rsid w:val="00AD1CE7"/>
    <w:rsid w:val="00AD2138"/>
    <w:rsid w:val="00AD2634"/>
    <w:rsid w:val="00AD2F15"/>
    <w:rsid w:val="00AD36A0"/>
    <w:rsid w:val="00AD38B3"/>
    <w:rsid w:val="00AD3AF9"/>
    <w:rsid w:val="00AD4A6F"/>
    <w:rsid w:val="00AD4E10"/>
    <w:rsid w:val="00AD5501"/>
    <w:rsid w:val="00AD75BD"/>
    <w:rsid w:val="00AD76B1"/>
    <w:rsid w:val="00AE0355"/>
    <w:rsid w:val="00AE085E"/>
    <w:rsid w:val="00AE0F3A"/>
    <w:rsid w:val="00AE271C"/>
    <w:rsid w:val="00AE3441"/>
    <w:rsid w:val="00AE3D52"/>
    <w:rsid w:val="00AE40CC"/>
    <w:rsid w:val="00AE4817"/>
    <w:rsid w:val="00AE4EEE"/>
    <w:rsid w:val="00AE5C2A"/>
    <w:rsid w:val="00AE5EC0"/>
    <w:rsid w:val="00AE623B"/>
    <w:rsid w:val="00AE6A6D"/>
    <w:rsid w:val="00AE6B11"/>
    <w:rsid w:val="00AE6E60"/>
    <w:rsid w:val="00AE6F47"/>
    <w:rsid w:val="00AE7E71"/>
    <w:rsid w:val="00AF08A9"/>
    <w:rsid w:val="00AF0A5E"/>
    <w:rsid w:val="00AF2CC6"/>
    <w:rsid w:val="00AF35C8"/>
    <w:rsid w:val="00AF5800"/>
    <w:rsid w:val="00AF5826"/>
    <w:rsid w:val="00AF66D7"/>
    <w:rsid w:val="00AF68AE"/>
    <w:rsid w:val="00AF6FF3"/>
    <w:rsid w:val="00AF7AF5"/>
    <w:rsid w:val="00AF7B03"/>
    <w:rsid w:val="00B0009D"/>
    <w:rsid w:val="00B00DE4"/>
    <w:rsid w:val="00B022A0"/>
    <w:rsid w:val="00B024F7"/>
    <w:rsid w:val="00B02851"/>
    <w:rsid w:val="00B037F8"/>
    <w:rsid w:val="00B03A45"/>
    <w:rsid w:val="00B04E68"/>
    <w:rsid w:val="00B04EEF"/>
    <w:rsid w:val="00B066AE"/>
    <w:rsid w:val="00B07E37"/>
    <w:rsid w:val="00B107D6"/>
    <w:rsid w:val="00B10820"/>
    <w:rsid w:val="00B115E9"/>
    <w:rsid w:val="00B116C9"/>
    <w:rsid w:val="00B1191F"/>
    <w:rsid w:val="00B131E1"/>
    <w:rsid w:val="00B13882"/>
    <w:rsid w:val="00B13F31"/>
    <w:rsid w:val="00B1404A"/>
    <w:rsid w:val="00B152C7"/>
    <w:rsid w:val="00B15C86"/>
    <w:rsid w:val="00B17F99"/>
    <w:rsid w:val="00B2086C"/>
    <w:rsid w:val="00B20DBB"/>
    <w:rsid w:val="00B21584"/>
    <w:rsid w:val="00B21625"/>
    <w:rsid w:val="00B21C73"/>
    <w:rsid w:val="00B22749"/>
    <w:rsid w:val="00B23AB7"/>
    <w:rsid w:val="00B25146"/>
    <w:rsid w:val="00B2643F"/>
    <w:rsid w:val="00B26946"/>
    <w:rsid w:val="00B26969"/>
    <w:rsid w:val="00B271CD"/>
    <w:rsid w:val="00B27F62"/>
    <w:rsid w:val="00B319CA"/>
    <w:rsid w:val="00B31BF8"/>
    <w:rsid w:val="00B31C09"/>
    <w:rsid w:val="00B32B71"/>
    <w:rsid w:val="00B33D00"/>
    <w:rsid w:val="00B343B6"/>
    <w:rsid w:val="00B3469A"/>
    <w:rsid w:val="00B351D6"/>
    <w:rsid w:val="00B356EB"/>
    <w:rsid w:val="00B37F1A"/>
    <w:rsid w:val="00B40650"/>
    <w:rsid w:val="00B40BBD"/>
    <w:rsid w:val="00B40C69"/>
    <w:rsid w:val="00B40F6F"/>
    <w:rsid w:val="00B41052"/>
    <w:rsid w:val="00B41601"/>
    <w:rsid w:val="00B4197B"/>
    <w:rsid w:val="00B42203"/>
    <w:rsid w:val="00B42A94"/>
    <w:rsid w:val="00B43514"/>
    <w:rsid w:val="00B438A3"/>
    <w:rsid w:val="00B44256"/>
    <w:rsid w:val="00B45147"/>
    <w:rsid w:val="00B45890"/>
    <w:rsid w:val="00B474D4"/>
    <w:rsid w:val="00B504D1"/>
    <w:rsid w:val="00B51554"/>
    <w:rsid w:val="00B51E48"/>
    <w:rsid w:val="00B528DA"/>
    <w:rsid w:val="00B52E28"/>
    <w:rsid w:val="00B52F2B"/>
    <w:rsid w:val="00B53B7F"/>
    <w:rsid w:val="00B5558B"/>
    <w:rsid w:val="00B55B6B"/>
    <w:rsid w:val="00B5693B"/>
    <w:rsid w:val="00B6060B"/>
    <w:rsid w:val="00B6230C"/>
    <w:rsid w:val="00B62D9D"/>
    <w:rsid w:val="00B62E1B"/>
    <w:rsid w:val="00B62F42"/>
    <w:rsid w:val="00B62F44"/>
    <w:rsid w:val="00B639B8"/>
    <w:rsid w:val="00B64203"/>
    <w:rsid w:val="00B6459B"/>
    <w:rsid w:val="00B65C4B"/>
    <w:rsid w:val="00B6619E"/>
    <w:rsid w:val="00B66E92"/>
    <w:rsid w:val="00B672ED"/>
    <w:rsid w:val="00B6799D"/>
    <w:rsid w:val="00B70443"/>
    <w:rsid w:val="00B708D7"/>
    <w:rsid w:val="00B70EE8"/>
    <w:rsid w:val="00B71554"/>
    <w:rsid w:val="00B7425A"/>
    <w:rsid w:val="00B7454D"/>
    <w:rsid w:val="00B74BEC"/>
    <w:rsid w:val="00B75256"/>
    <w:rsid w:val="00B769A6"/>
    <w:rsid w:val="00B77CA3"/>
    <w:rsid w:val="00B801AC"/>
    <w:rsid w:val="00B80770"/>
    <w:rsid w:val="00B80C68"/>
    <w:rsid w:val="00B824C9"/>
    <w:rsid w:val="00B82F05"/>
    <w:rsid w:val="00B836A2"/>
    <w:rsid w:val="00B84500"/>
    <w:rsid w:val="00B84522"/>
    <w:rsid w:val="00B85081"/>
    <w:rsid w:val="00B8519D"/>
    <w:rsid w:val="00B9131A"/>
    <w:rsid w:val="00B91393"/>
    <w:rsid w:val="00B91D0B"/>
    <w:rsid w:val="00B929B5"/>
    <w:rsid w:val="00B93DBA"/>
    <w:rsid w:val="00B93FF4"/>
    <w:rsid w:val="00B94DFB"/>
    <w:rsid w:val="00B95833"/>
    <w:rsid w:val="00B9597E"/>
    <w:rsid w:val="00B95B1F"/>
    <w:rsid w:val="00B95ED5"/>
    <w:rsid w:val="00B9615B"/>
    <w:rsid w:val="00B96E54"/>
    <w:rsid w:val="00B97C95"/>
    <w:rsid w:val="00BA04FD"/>
    <w:rsid w:val="00BA0889"/>
    <w:rsid w:val="00BA0B49"/>
    <w:rsid w:val="00BA287C"/>
    <w:rsid w:val="00BA4375"/>
    <w:rsid w:val="00BA4AB9"/>
    <w:rsid w:val="00BA4F7C"/>
    <w:rsid w:val="00BA586D"/>
    <w:rsid w:val="00BA637D"/>
    <w:rsid w:val="00BA6886"/>
    <w:rsid w:val="00BA6A64"/>
    <w:rsid w:val="00BA6B51"/>
    <w:rsid w:val="00BA727D"/>
    <w:rsid w:val="00BA7371"/>
    <w:rsid w:val="00BB0DD1"/>
    <w:rsid w:val="00BB0DE9"/>
    <w:rsid w:val="00BB1B2A"/>
    <w:rsid w:val="00BB20CE"/>
    <w:rsid w:val="00BB21A9"/>
    <w:rsid w:val="00BB29BD"/>
    <w:rsid w:val="00BB5A28"/>
    <w:rsid w:val="00BB5A5E"/>
    <w:rsid w:val="00BB6883"/>
    <w:rsid w:val="00BB6EC3"/>
    <w:rsid w:val="00BB7257"/>
    <w:rsid w:val="00BB7738"/>
    <w:rsid w:val="00BC0109"/>
    <w:rsid w:val="00BC0195"/>
    <w:rsid w:val="00BC0771"/>
    <w:rsid w:val="00BC15ED"/>
    <w:rsid w:val="00BC1813"/>
    <w:rsid w:val="00BC2E1B"/>
    <w:rsid w:val="00BC3A42"/>
    <w:rsid w:val="00BC3CCC"/>
    <w:rsid w:val="00BC47EE"/>
    <w:rsid w:val="00BC547F"/>
    <w:rsid w:val="00BC56EC"/>
    <w:rsid w:val="00BC6116"/>
    <w:rsid w:val="00BC6E12"/>
    <w:rsid w:val="00BD0153"/>
    <w:rsid w:val="00BD0770"/>
    <w:rsid w:val="00BD1BE8"/>
    <w:rsid w:val="00BD1DA5"/>
    <w:rsid w:val="00BD2CFA"/>
    <w:rsid w:val="00BD2FBB"/>
    <w:rsid w:val="00BD3BD2"/>
    <w:rsid w:val="00BD3E20"/>
    <w:rsid w:val="00BD4C69"/>
    <w:rsid w:val="00BD4D53"/>
    <w:rsid w:val="00BD570F"/>
    <w:rsid w:val="00BD5761"/>
    <w:rsid w:val="00BD5957"/>
    <w:rsid w:val="00BE00B1"/>
    <w:rsid w:val="00BE0260"/>
    <w:rsid w:val="00BE150B"/>
    <w:rsid w:val="00BE21F9"/>
    <w:rsid w:val="00BE298B"/>
    <w:rsid w:val="00BE2FAD"/>
    <w:rsid w:val="00BE3F2E"/>
    <w:rsid w:val="00BE4202"/>
    <w:rsid w:val="00BE573C"/>
    <w:rsid w:val="00BE656E"/>
    <w:rsid w:val="00BE66A4"/>
    <w:rsid w:val="00BE6CF3"/>
    <w:rsid w:val="00BE77C0"/>
    <w:rsid w:val="00BE7B94"/>
    <w:rsid w:val="00BE7CE0"/>
    <w:rsid w:val="00BF0698"/>
    <w:rsid w:val="00BF091A"/>
    <w:rsid w:val="00BF09F1"/>
    <w:rsid w:val="00BF461E"/>
    <w:rsid w:val="00BF5B86"/>
    <w:rsid w:val="00BF5BCF"/>
    <w:rsid w:val="00BF5CFC"/>
    <w:rsid w:val="00BF697A"/>
    <w:rsid w:val="00BF6B7A"/>
    <w:rsid w:val="00BF741A"/>
    <w:rsid w:val="00BF79A3"/>
    <w:rsid w:val="00BF7A75"/>
    <w:rsid w:val="00C008D6"/>
    <w:rsid w:val="00C01CA2"/>
    <w:rsid w:val="00C035B2"/>
    <w:rsid w:val="00C04245"/>
    <w:rsid w:val="00C04E4A"/>
    <w:rsid w:val="00C05148"/>
    <w:rsid w:val="00C05995"/>
    <w:rsid w:val="00C05BAA"/>
    <w:rsid w:val="00C06113"/>
    <w:rsid w:val="00C062A6"/>
    <w:rsid w:val="00C112D9"/>
    <w:rsid w:val="00C11510"/>
    <w:rsid w:val="00C11874"/>
    <w:rsid w:val="00C12536"/>
    <w:rsid w:val="00C13E3D"/>
    <w:rsid w:val="00C14079"/>
    <w:rsid w:val="00C15357"/>
    <w:rsid w:val="00C15902"/>
    <w:rsid w:val="00C16048"/>
    <w:rsid w:val="00C17A1F"/>
    <w:rsid w:val="00C17A75"/>
    <w:rsid w:val="00C17B10"/>
    <w:rsid w:val="00C17F2A"/>
    <w:rsid w:val="00C2021D"/>
    <w:rsid w:val="00C204F4"/>
    <w:rsid w:val="00C2113A"/>
    <w:rsid w:val="00C21C02"/>
    <w:rsid w:val="00C21C6B"/>
    <w:rsid w:val="00C2223D"/>
    <w:rsid w:val="00C23F63"/>
    <w:rsid w:val="00C25256"/>
    <w:rsid w:val="00C25C55"/>
    <w:rsid w:val="00C26AB1"/>
    <w:rsid w:val="00C26AE6"/>
    <w:rsid w:val="00C27A34"/>
    <w:rsid w:val="00C27AE9"/>
    <w:rsid w:val="00C30AD3"/>
    <w:rsid w:val="00C3449F"/>
    <w:rsid w:val="00C346D8"/>
    <w:rsid w:val="00C3585D"/>
    <w:rsid w:val="00C36760"/>
    <w:rsid w:val="00C369CB"/>
    <w:rsid w:val="00C3710D"/>
    <w:rsid w:val="00C37AC6"/>
    <w:rsid w:val="00C37D0F"/>
    <w:rsid w:val="00C40B2B"/>
    <w:rsid w:val="00C418F3"/>
    <w:rsid w:val="00C42250"/>
    <w:rsid w:val="00C42A08"/>
    <w:rsid w:val="00C42C17"/>
    <w:rsid w:val="00C42E17"/>
    <w:rsid w:val="00C43246"/>
    <w:rsid w:val="00C435CD"/>
    <w:rsid w:val="00C44400"/>
    <w:rsid w:val="00C44752"/>
    <w:rsid w:val="00C44F07"/>
    <w:rsid w:val="00C45B58"/>
    <w:rsid w:val="00C45E67"/>
    <w:rsid w:val="00C468DF"/>
    <w:rsid w:val="00C47646"/>
    <w:rsid w:val="00C4780F"/>
    <w:rsid w:val="00C505F9"/>
    <w:rsid w:val="00C512F8"/>
    <w:rsid w:val="00C538A3"/>
    <w:rsid w:val="00C53CA4"/>
    <w:rsid w:val="00C54B40"/>
    <w:rsid w:val="00C54EEE"/>
    <w:rsid w:val="00C55CB7"/>
    <w:rsid w:val="00C57BA9"/>
    <w:rsid w:val="00C60CFA"/>
    <w:rsid w:val="00C60EBA"/>
    <w:rsid w:val="00C612A6"/>
    <w:rsid w:val="00C62D88"/>
    <w:rsid w:val="00C62E7B"/>
    <w:rsid w:val="00C62FA7"/>
    <w:rsid w:val="00C648D7"/>
    <w:rsid w:val="00C64BCD"/>
    <w:rsid w:val="00C66361"/>
    <w:rsid w:val="00C666E7"/>
    <w:rsid w:val="00C66B1F"/>
    <w:rsid w:val="00C6774D"/>
    <w:rsid w:val="00C67F8C"/>
    <w:rsid w:val="00C71632"/>
    <w:rsid w:val="00C729AE"/>
    <w:rsid w:val="00C72A0C"/>
    <w:rsid w:val="00C7599A"/>
    <w:rsid w:val="00C76AFA"/>
    <w:rsid w:val="00C76BD4"/>
    <w:rsid w:val="00C76CD6"/>
    <w:rsid w:val="00C7767D"/>
    <w:rsid w:val="00C77CB7"/>
    <w:rsid w:val="00C80728"/>
    <w:rsid w:val="00C80F6D"/>
    <w:rsid w:val="00C81C74"/>
    <w:rsid w:val="00C81FEE"/>
    <w:rsid w:val="00C83444"/>
    <w:rsid w:val="00C834FD"/>
    <w:rsid w:val="00C83831"/>
    <w:rsid w:val="00C84944"/>
    <w:rsid w:val="00C85000"/>
    <w:rsid w:val="00C859AF"/>
    <w:rsid w:val="00C87795"/>
    <w:rsid w:val="00C87CF0"/>
    <w:rsid w:val="00C87D8C"/>
    <w:rsid w:val="00C87DB6"/>
    <w:rsid w:val="00C87FC0"/>
    <w:rsid w:val="00C902DF"/>
    <w:rsid w:val="00C90FEF"/>
    <w:rsid w:val="00C91516"/>
    <w:rsid w:val="00C918C0"/>
    <w:rsid w:val="00C91A2C"/>
    <w:rsid w:val="00C92733"/>
    <w:rsid w:val="00C9401B"/>
    <w:rsid w:val="00C94976"/>
    <w:rsid w:val="00C95312"/>
    <w:rsid w:val="00C956E1"/>
    <w:rsid w:val="00C959B3"/>
    <w:rsid w:val="00C96012"/>
    <w:rsid w:val="00C960B8"/>
    <w:rsid w:val="00C9731B"/>
    <w:rsid w:val="00C97785"/>
    <w:rsid w:val="00CA00F4"/>
    <w:rsid w:val="00CA0961"/>
    <w:rsid w:val="00CA1DF8"/>
    <w:rsid w:val="00CA238C"/>
    <w:rsid w:val="00CA23CB"/>
    <w:rsid w:val="00CA2894"/>
    <w:rsid w:val="00CA2EED"/>
    <w:rsid w:val="00CA326C"/>
    <w:rsid w:val="00CA4019"/>
    <w:rsid w:val="00CA4FFB"/>
    <w:rsid w:val="00CA6698"/>
    <w:rsid w:val="00CA6748"/>
    <w:rsid w:val="00CA7217"/>
    <w:rsid w:val="00CA7916"/>
    <w:rsid w:val="00CB01D0"/>
    <w:rsid w:val="00CB05EE"/>
    <w:rsid w:val="00CB0AE2"/>
    <w:rsid w:val="00CB1FCC"/>
    <w:rsid w:val="00CB21FD"/>
    <w:rsid w:val="00CB24A6"/>
    <w:rsid w:val="00CB2E32"/>
    <w:rsid w:val="00CB418B"/>
    <w:rsid w:val="00CB4252"/>
    <w:rsid w:val="00CB43C3"/>
    <w:rsid w:val="00CB6C63"/>
    <w:rsid w:val="00CB7EA2"/>
    <w:rsid w:val="00CC1987"/>
    <w:rsid w:val="00CC2093"/>
    <w:rsid w:val="00CC273A"/>
    <w:rsid w:val="00CC2AC3"/>
    <w:rsid w:val="00CC49FB"/>
    <w:rsid w:val="00CC6C3F"/>
    <w:rsid w:val="00CD05D0"/>
    <w:rsid w:val="00CD0BCD"/>
    <w:rsid w:val="00CD250B"/>
    <w:rsid w:val="00CD2EA7"/>
    <w:rsid w:val="00CD39BE"/>
    <w:rsid w:val="00CD3EFF"/>
    <w:rsid w:val="00CD3F19"/>
    <w:rsid w:val="00CD4890"/>
    <w:rsid w:val="00CD5771"/>
    <w:rsid w:val="00CD6A71"/>
    <w:rsid w:val="00CD6DA3"/>
    <w:rsid w:val="00CD7832"/>
    <w:rsid w:val="00CE17F5"/>
    <w:rsid w:val="00CE183F"/>
    <w:rsid w:val="00CE36B0"/>
    <w:rsid w:val="00CE39EF"/>
    <w:rsid w:val="00CE3ACB"/>
    <w:rsid w:val="00CE42C5"/>
    <w:rsid w:val="00CE4480"/>
    <w:rsid w:val="00CE4DF5"/>
    <w:rsid w:val="00CE4F22"/>
    <w:rsid w:val="00CE506B"/>
    <w:rsid w:val="00CE580D"/>
    <w:rsid w:val="00CE5A10"/>
    <w:rsid w:val="00CE5EC5"/>
    <w:rsid w:val="00CE6F9D"/>
    <w:rsid w:val="00CE73BB"/>
    <w:rsid w:val="00CE7BB8"/>
    <w:rsid w:val="00CF0B63"/>
    <w:rsid w:val="00CF20DA"/>
    <w:rsid w:val="00CF2908"/>
    <w:rsid w:val="00CF2B1D"/>
    <w:rsid w:val="00CF3E2A"/>
    <w:rsid w:val="00CF3EB7"/>
    <w:rsid w:val="00CF4139"/>
    <w:rsid w:val="00CF413E"/>
    <w:rsid w:val="00CF43C4"/>
    <w:rsid w:val="00CF4AD7"/>
    <w:rsid w:val="00CF5F4D"/>
    <w:rsid w:val="00CF6643"/>
    <w:rsid w:val="00CF6CB6"/>
    <w:rsid w:val="00CF731C"/>
    <w:rsid w:val="00CF7F0D"/>
    <w:rsid w:val="00D01014"/>
    <w:rsid w:val="00D01D29"/>
    <w:rsid w:val="00D0265D"/>
    <w:rsid w:val="00D026A7"/>
    <w:rsid w:val="00D02E47"/>
    <w:rsid w:val="00D03958"/>
    <w:rsid w:val="00D03E52"/>
    <w:rsid w:val="00D044BD"/>
    <w:rsid w:val="00D05C58"/>
    <w:rsid w:val="00D06BB9"/>
    <w:rsid w:val="00D06CC8"/>
    <w:rsid w:val="00D07587"/>
    <w:rsid w:val="00D07A0C"/>
    <w:rsid w:val="00D07C82"/>
    <w:rsid w:val="00D10957"/>
    <w:rsid w:val="00D119D3"/>
    <w:rsid w:val="00D122DA"/>
    <w:rsid w:val="00D12D2F"/>
    <w:rsid w:val="00D13543"/>
    <w:rsid w:val="00D13BA4"/>
    <w:rsid w:val="00D14876"/>
    <w:rsid w:val="00D14B9C"/>
    <w:rsid w:val="00D15365"/>
    <w:rsid w:val="00D156FB"/>
    <w:rsid w:val="00D15B9B"/>
    <w:rsid w:val="00D16102"/>
    <w:rsid w:val="00D179AF"/>
    <w:rsid w:val="00D20492"/>
    <w:rsid w:val="00D205CB"/>
    <w:rsid w:val="00D20D2D"/>
    <w:rsid w:val="00D21272"/>
    <w:rsid w:val="00D22577"/>
    <w:rsid w:val="00D22820"/>
    <w:rsid w:val="00D23732"/>
    <w:rsid w:val="00D23B9D"/>
    <w:rsid w:val="00D240AC"/>
    <w:rsid w:val="00D25544"/>
    <w:rsid w:val="00D25937"/>
    <w:rsid w:val="00D25CEB"/>
    <w:rsid w:val="00D27005"/>
    <w:rsid w:val="00D27EC1"/>
    <w:rsid w:val="00D27F95"/>
    <w:rsid w:val="00D30B70"/>
    <w:rsid w:val="00D30CC9"/>
    <w:rsid w:val="00D31E4D"/>
    <w:rsid w:val="00D320D0"/>
    <w:rsid w:val="00D32AD2"/>
    <w:rsid w:val="00D334B4"/>
    <w:rsid w:val="00D343AF"/>
    <w:rsid w:val="00D3452D"/>
    <w:rsid w:val="00D354B7"/>
    <w:rsid w:val="00D35DD3"/>
    <w:rsid w:val="00D366A5"/>
    <w:rsid w:val="00D401C5"/>
    <w:rsid w:val="00D40755"/>
    <w:rsid w:val="00D421D9"/>
    <w:rsid w:val="00D42A07"/>
    <w:rsid w:val="00D42A47"/>
    <w:rsid w:val="00D42D73"/>
    <w:rsid w:val="00D43774"/>
    <w:rsid w:val="00D4488B"/>
    <w:rsid w:val="00D44B00"/>
    <w:rsid w:val="00D44EDB"/>
    <w:rsid w:val="00D46A10"/>
    <w:rsid w:val="00D46A42"/>
    <w:rsid w:val="00D46A83"/>
    <w:rsid w:val="00D47425"/>
    <w:rsid w:val="00D47A30"/>
    <w:rsid w:val="00D5102C"/>
    <w:rsid w:val="00D51813"/>
    <w:rsid w:val="00D52048"/>
    <w:rsid w:val="00D520D0"/>
    <w:rsid w:val="00D530A8"/>
    <w:rsid w:val="00D53AC0"/>
    <w:rsid w:val="00D5542D"/>
    <w:rsid w:val="00D56870"/>
    <w:rsid w:val="00D57300"/>
    <w:rsid w:val="00D606E1"/>
    <w:rsid w:val="00D60815"/>
    <w:rsid w:val="00D60F4C"/>
    <w:rsid w:val="00D60F92"/>
    <w:rsid w:val="00D6161F"/>
    <w:rsid w:val="00D6299E"/>
    <w:rsid w:val="00D673FA"/>
    <w:rsid w:val="00D67D4F"/>
    <w:rsid w:val="00D70537"/>
    <w:rsid w:val="00D70F62"/>
    <w:rsid w:val="00D72883"/>
    <w:rsid w:val="00D72E9A"/>
    <w:rsid w:val="00D740A3"/>
    <w:rsid w:val="00D745D1"/>
    <w:rsid w:val="00D7501F"/>
    <w:rsid w:val="00D752FD"/>
    <w:rsid w:val="00D75757"/>
    <w:rsid w:val="00D802CE"/>
    <w:rsid w:val="00D819F3"/>
    <w:rsid w:val="00D825F0"/>
    <w:rsid w:val="00D828DA"/>
    <w:rsid w:val="00D835CC"/>
    <w:rsid w:val="00D84151"/>
    <w:rsid w:val="00D848F6"/>
    <w:rsid w:val="00D85604"/>
    <w:rsid w:val="00D856EF"/>
    <w:rsid w:val="00D86A6A"/>
    <w:rsid w:val="00D87DA1"/>
    <w:rsid w:val="00D90437"/>
    <w:rsid w:val="00D904BD"/>
    <w:rsid w:val="00D90525"/>
    <w:rsid w:val="00D912B4"/>
    <w:rsid w:val="00D91A4B"/>
    <w:rsid w:val="00D91B21"/>
    <w:rsid w:val="00D93794"/>
    <w:rsid w:val="00D94247"/>
    <w:rsid w:val="00D949BA"/>
    <w:rsid w:val="00D96475"/>
    <w:rsid w:val="00DA0375"/>
    <w:rsid w:val="00DA04BB"/>
    <w:rsid w:val="00DA0FC6"/>
    <w:rsid w:val="00DA3657"/>
    <w:rsid w:val="00DA3BCA"/>
    <w:rsid w:val="00DA4BCD"/>
    <w:rsid w:val="00DA53E1"/>
    <w:rsid w:val="00DA5E0B"/>
    <w:rsid w:val="00DA670E"/>
    <w:rsid w:val="00DA6D63"/>
    <w:rsid w:val="00DA6DDD"/>
    <w:rsid w:val="00DA7B83"/>
    <w:rsid w:val="00DB08FE"/>
    <w:rsid w:val="00DB0D41"/>
    <w:rsid w:val="00DB13BA"/>
    <w:rsid w:val="00DB29A5"/>
    <w:rsid w:val="00DB307F"/>
    <w:rsid w:val="00DB3566"/>
    <w:rsid w:val="00DB4D88"/>
    <w:rsid w:val="00DB530E"/>
    <w:rsid w:val="00DB5454"/>
    <w:rsid w:val="00DC18BB"/>
    <w:rsid w:val="00DC4143"/>
    <w:rsid w:val="00DC63E0"/>
    <w:rsid w:val="00DD1A1D"/>
    <w:rsid w:val="00DD1AEE"/>
    <w:rsid w:val="00DD1FCB"/>
    <w:rsid w:val="00DD2727"/>
    <w:rsid w:val="00DD3317"/>
    <w:rsid w:val="00DD3C43"/>
    <w:rsid w:val="00DD4AAB"/>
    <w:rsid w:val="00DD51B2"/>
    <w:rsid w:val="00DD65DE"/>
    <w:rsid w:val="00DD69EC"/>
    <w:rsid w:val="00DD6E2E"/>
    <w:rsid w:val="00DD6E46"/>
    <w:rsid w:val="00DE0BBB"/>
    <w:rsid w:val="00DE1AFE"/>
    <w:rsid w:val="00DE2154"/>
    <w:rsid w:val="00DE2976"/>
    <w:rsid w:val="00DE340A"/>
    <w:rsid w:val="00DE3463"/>
    <w:rsid w:val="00DE391F"/>
    <w:rsid w:val="00DE3DA3"/>
    <w:rsid w:val="00DE3F96"/>
    <w:rsid w:val="00DE4234"/>
    <w:rsid w:val="00DE53E0"/>
    <w:rsid w:val="00DE54E8"/>
    <w:rsid w:val="00DE5B52"/>
    <w:rsid w:val="00DE6E5B"/>
    <w:rsid w:val="00DE71E3"/>
    <w:rsid w:val="00DE7538"/>
    <w:rsid w:val="00DE79D5"/>
    <w:rsid w:val="00DF03C3"/>
    <w:rsid w:val="00DF3F9D"/>
    <w:rsid w:val="00DF5436"/>
    <w:rsid w:val="00DF55EB"/>
    <w:rsid w:val="00DF5FC3"/>
    <w:rsid w:val="00DF63B9"/>
    <w:rsid w:val="00DF6BBE"/>
    <w:rsid w:val="00E00419"/>
    <w:rsid w:val="00E005EF"/>
    <w:rsid w:val="00E00B83"/>
    <w:rsid w:val="00E0100A"/>
    <w:rsid w:val="00E05938"/>
    <w:rsid w:val="00E05BE8"/>
    <w:rsid w:val="00E05C89"/>
    <w:rsid w:val="00E06B30"/>
    <w:rsid w:val="00E10F3D"/>
    <w:rsid w:val="00E11B3F"/>
    <w:rsid w:val="00E11EFA"/>
    <w:rsid w:val="00E12199"/>
    <w:rsid w:val="00E124DD"/>
    <w:rsid w:val="00E12E43"/>
    <w:rsid w:val="00E13315"/>
    <w:rsid w:val="00E13543"/>
    <w:rsid w:val="00E13C0F"/>
    <w:rsid w:val="00E14302"/>
    <w:rsid w:val="00E14821"/>
    <w:rsid w:val="00E15EC9"/>
    <w:rsid w:val="00E164C4"/>
    <w:rsid w:val="00E171E0"/>
    <w:rsid w:val="00E207CE"/>
    <w:rsid w:val="00E23E4C"/>
    <w:rsid w:val="00E24CDF"/>
    <w:rsid w:val="00E268C6"/>
    <w:rsid w:val="00E2699F"/>
    <w:rsid w:val="00E30FE7"/>
    <w:rsid w:val="00E31482"/>
    <w:rsid w:val="00E326B8"/>
    <w:rsid w:val="00E32700"/>
    <w:rsid w:val="00E3566A"/>
    <w:rsid w:val="00E36A02"/>
    <w:rsid w:val="00E40480"/>
    <w:rsid w:val="00E406BF"/>
    <w:rsid w:val="00E41597"/>
    <w:rsid w:val="00E4186B"/>
    <w:rsid w:val="00E41E4B"/>
    <w:rsid w:val="00E42353"/>
    <w:rsid w:val="00E44241"/>
    <w:rsid w:val="00E44957"/>
    <w:rsid w:val="00E452B0"/>
    <w:rsid w:val="00E457E5"/>
    <w:rsid w:val="00E4659B"/>
    <w:rsid w:val="00E46D0F"/>
    <w:rsid w:val="00E50D29"/>
    <w:rsid w:val="00E5161B"/>
    <w:rsid w:val="00E51AE9"/>
    <w:rsid w:val="00E544D9"/>
    <w:rsid w:val="00E5468B"/>
    <w:rsid w:val="00E55AE4"/>
    <w:rsid w:val="00E55B30"/>
    <w:rsid w:val="00E56650"/>
    <w:rsid w:val="00E56724"/>
    <w:rsid w:val="00E56C3E"/>
    <w:rsid w:val="00E60D4C"/>
    <w:rsid w:val="00E613B4"/>
    <w:rsid w:val="00E61FD0"/>
    <w:rsid w:val="00E621E0"/>
    <w:rsid w:val="00E628CF"/>
    <w:rsid w:val="00E652C2"/>
    <w:rsid w:val="00E65DA4"/>
    <w:rsid w:val="00E667C7"/>
    <w:rsid w:val="00E66F29"/>
    <w:rsid w:val="00E6768A"/>
    <w:rsid w:val="00E70107"/>
    <w:rsid w:val="00E70E09"/>
    <w:rsid w:val="00E717BD"/>
    <w:rsid w:val="00E71B25"/>
    <w:rsid w:val="00E71CF4"/>
    <w:rsid w:val="00E72471"/>
    <w:rsid w:val="00E725E0"/>
    <w:rsid w:val="00E72841"/>
    <w:rsid w:val="00E730F6"/>
    <w:rsid w:val="00E748D4"/>
    <w:rsid w:val="00E75574"/>
    <w:rsid w:val="00E75893"/>
    <w:rsid w:val="00E7658B"/>
    <w:rsid w:val="00E769D2"/>
    <w:rsid w:val="00E7771A"/>
    <w:rsid w:val="00E77C7F"/>
    <w:rsid w:val="00E809FF"/>
    <w:rsid w:val="00E812C5"/>
    <w:rsid w:val="00E83A89"/>
    <w:rsid w:val="00E83E2A"/>
    <w:rsid w:val="00E840CD"/>
    <w:rsid w:val="00E84193"/>
    <w:rsid w:val="00E841FE"/>
    <w:rsid w:val="00E842EE"/>
    <w:rsid w:val="00E8582A"/>
    <w:rsid w:val="00E85D7D"/>
    <w:rsid w:val="00E8624E"/>
    <w:rsid w:val="00E86A6D"/>
    <w:rsid w:val="00E8733B"/>
    <w:rsid w:val="00E873E9"/>
    <w:rsid w:val="00E879B6"/>
    <w:rsid w:val="00E879E2"/>
    <w:rsid w:val="00E87EB6"/>
    <w:rsid w:val="00E90EF5"/>
    <w:rsid w:val="00E916C4"/>
    <w:rsid w:val="00E920ED"/>
    <w:rsid w:val="00E9215F"/>
    <w:rsid w:val="00E926DF"/>
    <w:rsid w:val="00E92B85"/>
    <w:rsid w:val="00E92E82"/>
    <w:rsid w:val="00E92FC9"/>
    <w:rsid w:val="00E93A79"/>
    <w:rsid w:val="00E94B94"/>
    <w:rsid w:val="00E95C14"/>
    <w:rsid w:val="00E96A54"/>
    <w:rsid w:val="00E97497"/>
    <w:rsid w:val="00EA067A"/>
    <w:rsid w:val="00EA1488"/>
    <w:rsid w:val="00EA168A"/>
    <w:rsid w:val="00EA239D"/>
    <w:rsid w:val="00EA24F3"/>
    <w:rsid w:val="00EA28FB"/>
    <w:rsid w:val="00EA5008"/>
    <w:rsid w:val="00EA55C5"/>
    <w:rsid w:val="00EA60AF"/>
    <w:rsid w:val="00EA657C"/>
    <w:rsid w:val="00EA68E1"/>
    <w:rsid w:val="00EA6B75"/>
    <w:rsid w:val="00EA7790"/>
    <w:rsid w:val="00EB1411"/>
    <w:rsid w:val="00EB1421"/>
    <w:rsid w:val="00EB169E"/>
    <w:rsid w:val="00EB2779"/>
    <w:rsid w:val="00EB3111"/>
    <w:rsid w:val="00EB37ED"/>
    <w:rsid w:val="00EB435D"/>
    <w:rsid w:val="00EB4C14"/>
    <w:rsid w:val="00EB6EB7"/>
    <w:rsid w:val="00EB7020"/>
    <w:rsid w:val="00EB727E"/>
    <w:rsid w:val="00EC22AD"/>
    <w:rsid w:val="00EC36C4"/>
    <w:rsid w:val="00EC4D2C"/>
    <w:rsid w:val="00EC5408"/>
    <w:rsid w:val="00EC583F"/>
    <w:rsid w:val="00EC60EE"/>
    <w:rsid w:val="00EC6657"/>
    <w:rsid w:val="00EC7063"/>
    <w:rsid w:val="00EC7530"/>
    <w:rsid w:val="00ED0240"/>
    <w:rsid w:val="00ED100E"/>
    <w:rsid w:val="00ED17B1"/>
    <w:rsid w:val="00ED2DEA"/>
    <w:rsid w:val="00ED2F26"/>
    <w:rsid w:val="00ED5363"/>
    <w:rsid w:val="00ED6006"/>
    <w:rsid w:val="00ED6185"/>
    <w:rsid w:val="00ED657B"/>
    <w:rsid w:val="00ED6D3C"/>
    <w:rsid w:val="00ED798D"/>
    <w:rsid w:val="00EE0A7E"/>
    <w:rsid w:val="00EE123B"/>
    <w:rsid w:val="00EE2AEF"/>
    <w:rsid w:val="00EE30CA"/>
    <w:rsid w:val="00EE34AF"/>
    <w:rsid w:val="00EE34F8"/>
    <w:rsid w:val="00EE3802"/>
    <w:rsid w:val="00EE4382"/>
    <w:rsid w:val="00EE716D"/>
    <w:rsid w:val="00EE79E6"/>
    <w:rsid w:val="00EE7DA7"/>
    <w:rsid w:val="00EE7DC4"/>
    <w:rsid w:val="00EF0D1D"/>
    <w:rsid w:val="00EF11C0"/>
    <w:rsid w:val="00EF1F7C"/>
    <w:rsid w:val="00EF2218"/>
    <w:rsid w:val="00EF2962"/>
    <w:rsid w:val="00EF343D"/>
    <w:rsid w:val="00EF4297"/>
    <w:rsid w:val="00EF4312"/>
    <w:rsid w:val="00EF526F"/>
    <w:rsid w:val="00EF72C0"/>
    <w:rsid w:val="00F000EF"/>
    <w:rsid w:val="00F00317"/>
    <w:rsid w:val="00F01168"/>
    <w:rsid w:val="00F0122B"/>
    <w:rsid w:val="00F01424"/>
    <w:rsid w:val="00F01453"/>
    <w:rsid w:val="00F025B2"/>
    <w:rsid w:val="00F02A12"/>
    <w:rsid w:val="00F03D1E"/>
    <w:rsid w:val="00F0644C"/>
    <w:rsid w:val="00F06587"/>
    <w:rsid w:val="00F067FF"/>
    <w:rsid w:val="00F0746E"/>
    <w:rsid w:val="00F10A45"/>
    <w:rsid w:val="00F11361"/>
    <w:rsid w:val="00F12814"/>
    <w:rsid w:val="00F13AD4"/>
    <w:rsid w:val="00F13FF0"/>
    <w:rsid w:val="00F149A5"/>
    <w:rsid w:val="00F14C56"/>
    <w:rsid w:val="00F1519F"/>
    <w:rsid w:val="00F162B9"/>
    <w:rsid w:val="00F17B4B"/>
    <w:rsid w:val="00F204F4"/>
    <w:rsid w:val="00F22C7C"/>
    <w:rsid w:val="00F22FE8"/>
    <w:rsid w:val="00F24579"/>
    <w:rsid w:val="00F253B2"/>
    <w:rsid w:val="00F26C6D"/>
    <w:rsid w:val="00F26F78"/>
    <w:rsid w:val="00F30ACE"/>
    <w:rsid w:val="00F31271"/>
    <w:rsid w:val="00F316F6"/>
    <w:rsid w:val="00F338ED"/>
    <w:rsid w:val="00F346AF"/>
    <w:rsid w:val="00F34B46"/>
    <w:rsid w:val="00F35CA8"/>
    <w:rsid w:val="00F361D1"/>
    <w:rsid w:val="00F36B14"/>
    <w:rsid w:val="00F400D8"/>
    <w:rsid w:val="00F4193E"/>
    <w:rsid w:val="00F4237C"/>
    <w:rsid w:val="00F426AF"/>
    <w:rsid w:val="00F42770"/>
    <w:rsid w:val="00F42C09"/>
    <w:rsid w:val="00F43393"/>
    <w:rsid w:val="00F43A5A"/>
    <w:rsid w:val="00F43BDF"/>
    <w:rsid w:val="00F44298"/>
    <w:rsid w:val="00F45F37"/>
    <w:rsid w:val="00F45F57"/>
    <w:rsid w:val="00F46112"/>
    <w:rsid w:val="00F4688B"/>
    <w:rsid w:val="00F46D9F"/>
    <w:rsid w:val="00F46F00"/>
    <w:rsid w:val="00F47F1F"/>
    <w:rsid w:val="00F508A6"/>
    <w:rsid w:val="00F5193E"/>
    <w:rsid w:val="00F51A6C"/>
    <w:rsid w:val="00F526F0"/>
    <w:rsid w:val="00F533FF"/>
    <w:rsid w:val="00F53413"/>
    <w:rsid w:val="00F540A0"/>
    <w:rsid w:val="00F544E2"/>
    <w:rsid w:val="00F546A6"/>
    <w:rsid w:val="00F54932"/>
    <w:rsid w:val="00F54CF9"/>
    <w:rsid w:val="00F560C9"/>
    <w:rsid w:val="00F56687"/>
    <w:rsid w:val="00F56812"/>
    <w:rsid w:val="00F570F0"/>
    <w:rsid w:val="00F5779D"/>
    <w:rsid w:val="00F6096B"/>
    <w:rsid w:val="00F60E0E"/>
    <w:rsid w:val="00F6122E"/>
    <w:rsid w:val="00F61B60"/>
    <w:rsid w:val="00F61C24"/>
    <w:rsid w:val="00F61EF8"/>
    <w:rsid w:val="00F625A2"/>
    <w:rsid w:val="00F6269C"/>
    <w:rsid w:val="00F641C0"/>
    <w:rsid w:val="00F65576"/>
    <w:rsid w:val="00F70BAF"/>
    <w:rsid w:val="00F71544"/>
    <w:rsid w:val="00F720C6"/>
    <w:rsid w:val="00F726D7"/>
    <w:rsid w:val="00F72777"/>
    <w:rsid w:val="00F72CF2"/>
    <w:rsid w:val="00F7445B"/>
    <w:rsid w:val="00F744FD"/>
    <w:rsid w:val="00F75FC0"/>
    <w:rsid w:val="00F76752"/>
    <w:rsid w:val="00F773DD"/>
    <w:rsid w:val="00F80687"/>
    <w:rsid w:val="00F8096A"/>
    <w:rsid w:val="00F80DEA"/>
    <w:rsid w:val="00F82D8D"/>
    <w:rsid w:val="00F83B4A"/>
    <w:rsid w:val="00F85CC0"/>
    <w:rsid w:val="00F86C3C"/>
    <w:rsid w:val="00F86F1E"/>
    <w:rsid w:val="00F87256"/>
    <w:rsid w:val="00F8748B"/>
    <w:rsid w:val="00F87777"/>
    <w:rsid w:val="00F916E2"/>
    <w:rsid w:val="00F91A30"/>
    <w:rsid w:val="00F926B8"/>
    <w:rsid w:val="00F92C91"/>
    <w:rsid w:val="00F92E9C"/>
    <w:rsid w:val="00F930DE"/>
    <w:rsid w:val="00F94C1C"/>
    <w:rsid w:val="00F94ED2"/>
    <w:rsid w:val="00F950B9"/>
    <w:rsid w:val="00F95ECC"/>
    <w:rsid w:val="00F95F97"/>
    <w:rsid w:val="00F962CA"/>
    <w:rsid w:val="00FA07B7"/>
    <w:rsid w:val="00FA179C"/>
    <w:rsid w:val="00FA1BA4"/>
    <w:rsid w:val="00FA3194"/>
    <w:rsid w:val="00FA4F29"/>
    <w:rsid w:val="00FA546B"/>
    <w:rsid w:val="00FA6320"/>
    <w:rsid w:val="00FA6644"/>
    <w:rsid w:val="00FA666A"/>
    <w:rsid w:val="00FA6BDE"/>
    <w:rsid w:val="00FB035B"/>
    <w:rsid w:val="00FB05CF"/>
    <w:rsid w:val="00FB2662"/>
    <w:rsid w:val="00FB29A9"/>
    <w:rsid w:val="00FB2A57"/>
    <w:rsid w:val="00FB2AC4"/>
    <w:rsid w:val="00FB7B87"/>
    <w:rsid w:val="00FC0361"/>
    <w:rsid w:val="00FC286D"/>
    <w:rsid w:val="00FC3366"/>
    <w:rsid w:val="00FC5533"/>
    <w:rsid w:val="00FC633D"/>
    <w:rsid w:val="00FC7151"/>
    <w:rsid w:val="00FC79E0"/>
    <w:rsid w:val="00FD0C28"/>
    <w:rsid w:val="00FD153E"/>
    <w:rsid w:val="00FD1686"/>
    <w:rsid w:val="00FD2172"/>
    <w:rsid w:val="00FD2B86"/>
    <w:rsid w:val="00FD6245"/>
    <w:rsid w:val="00FD6363"/>
    <w:rsid w:val="00FD6AB3"/>
    <w:rsid w:val="00FD6B58"/>
    <w:rsid w:val="00FD6DFA"/>
    <w:rsid w:val="00FD753D"/>
    <w:rsid w:val="00FE12B5"/>
    <w:rsid w:val="00FE1668"/>
    <w:rsid w:val="00FE22C8"/>
    <w:rsid w:val="00FE349B"/>
    <w:rsid w:val="00FE395B"/>
    <w:rsid w:val="00FE50FF"/>
    <w:rsid w:val="00FE536E"/>
    <w:rsid w:val="00FE55AE"/>
    <w:rsid w:val="00FE6A45"/>
    <w:rsid w:val="00FF0618"/>
    <w:rsid w:val="00FF0DED"/>
    <w:rsid w:val="00FF1009"/>
    <w:rsid w:val="00FF130A"/>
    <w:rsid w:val="00FF15EF"/>
    <w:rsid w:val="00FF27F0"/>
    <w:rsid w:val="00FF2AA1"/>
    <w:rsid w:val="00FF2EAB"/>
    <w:rsid w:val="00FF32A8"/>
    <w:rsid w:val="00FF3622"/>
    <w:rsid w:val="00FF69FC"/>
    <w:rsid w:val="00FF7D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A3DC6-8CF2-4295-A370-FABF619B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3F3"/>
  </w:style>
  <w:style w:type="paragraph" w:styleId="Ttulo1">
    <w:name w:val="heading 1"/>
    <w:basedOn w:val="Normal"/>
    <w:next w:val="Normal"/>
    <w:link w:val="Ttulo1Char"/>
    <w:uiPriority w:val="9"/>
    <w:qFormat/>
    <w:rsid w:val="001A306B"/>
    <w:pPr>
      <w:spacing w:before="480" w:after="360" w:line="480" w:lineRule="auto"/>
      <w:contextualSpacing/>
      <w:jc w:val="both"/>
      <w:outlineLvl w:val="0"/>
    </w:pPr>
    <w:rPr>
      <w:rFonts w:ascii="Times New Roman" w:eastAsia="Times New Roman" w:hAnsi="Times New Roman" w:cs="Times New Roman"/>
      <w:b/>
      <w:bCs/>
      <w:sz w:val="24"/>
      <w:szCs w:val="28"/>
      <w:lang w:val="en-US" w:bidi="en-US"/>
    </w:rPr>
  </w:style>
  <w:style w:type="paragraph" w:styleId="Ttulo2">
    <w:name w:val="heading 2"/>
    <w:basedOn w:val="Normal"/>
    <w:next w:val="Normal"/>
    <w:link w:val="Ttulo2Char"/>
    <w:uiPriority w:val="9"/>
    <w:semiHidden/>
    <w:unhideWhenUsed/>
    <w:qFormat/>
    <w:rsid w:val="001B2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har"/>
    <w:uiPriority w:val="9"/>
    <w:semiHidden/>
    <w:unhideWhenUsed/>
    <w:qFormat/>
    <w:rsid w:val="000D1CD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F54CF9"/>
    <w:pPr>
      <w:spacing w:after="0" w:line="240" w:lineRule="auto"/>
    </w:pPr>
    <w:rPr>
      <w:sz w:val="24"/>
      <w:szCs w:val="24"/>
      <w:lang w:val="en-US"/>
    </w:rPr>
  </w:style>
  <w:style w:type="character" w:customStyle="1" w:styleId="TextodenotaderodapChar">
    <w:name w:val="Texto de nota de rodapé Char"/>
    <w:basedOn w:val="Fontepargpadro"/>
    <w:link w:val="Textodenotaderodap"/>
    <w:uiPriority w:val="99"/>
    <w:rsid w:val="00F54CF9"/>
    <w:rPr>
      <w:sz w:val="24"/>
      <w:szCs w:val="24"/>
      <w:lang w:val="en-US"/>
    </w:rPr>
  </w:style>
  <w:style w:type="character" w:styleId="Refdenotaderodap">
    <w:name w:val="footnote reference"/>
    <w:basedOn w:val="Fontepargpadro"/>
    <w:uiPriority w:val="99"/>
    <w:unhideWhenUsed/>
    <w:rsid w:val="00F54CF9"/>
    <w:rPr>
      <w:vertAlign w:val="superscript"/>
    </w:rPr>
  </w:style>
  <w:style w:type="paragraph" w:styleId="Cabealho">
    <w:name w:val="header"/>
    <w:basedOn w:val="Normal"/>
    <w:link w:val="CabealhoChar"/>
    <w:uiPriority w:val="99"/>
    <w:unhideWhenUsed/>
    <w:rsid w:val="00884C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4C2E"/>
  </w:style>
  <w:style w:type="paragraph" w:styleId="Rodap">
    <w:name w:val="footer"/>
    <w:basedOn w:val="Normal"/>
    <w:link w:val="RodapChar"/>
    <w:uiPriority w:val="99"/>
    <w:unhideWhenUsed/>
    <w:rsid w:val="00884C2E"/>
    <w:pPr>
      <w:tabs>
        <w:tab w:val="center" w:pos="4252"/>
        <w:tab w:val="right" w:pos="8504"/>
      </w:tabs>
      <w:spacing w:after="0" w:line="240" w:lineRule="auto"/>
    </w:pPr>
  </w:style>
  <w:style w:type="character" w:customStyle="1" w:styleId="RodapChar">
    <w:name w:val="Rodapé Char"/>
    <w:basedOn w:val="Fontepargpadro"/>
    <w:link w:val="Rodap"/>
    <w:uiPriority w:val="99"/>
    <w:rsid w:val="00884C2E"/>
  </w:style>
  <w:style w:type="paragraph" w:styleId="PargrafodaLista">
    <w:name w:val="List Paragraph"/>
    <w:basedOn w:val="Normal"/>
    <w:uiPriority w:val="34"/>
    <w:qFormat/>
    <w:rsid w:val="00D0265D"/>
    <w:pPr>
      <w:ind w:left="720"/>
      <w:contextualSpacing/>
    </w:pPr>
  </w:style>
  <w:style w:type="paragraph" w:styleId="Textodecomentrio">
    <w:name w:val="annotation text"/>
    <w:basedOn w:val="Normal"/>
    <w:link w:val="TextodecomentrioChar"/>
    <w:uiPriority w:val="99"/>
    <w:semiHidden/>
    <w:unhideWhenUsed/>
    <w:rsid w:val="00FD6B58"/>
    <w:pPr>
      <w:spacing w:after="200" w:line="240" w:lineRule="auto"/>
    </w:pPr>
    <w:rPr>
      <w:sz w:val="20"/>
      <w:szCs w:val="20"/>
      <w:lang w:val="en-US"/>
    </w:rPr>
  </w:style>
  <w:style w:type="character" w:customStyle="1" w:styleId="TextodecomentrioChar">
    <w:name w:val="Texto de comentário Char"/>
    <w:basedOn w:val="Fontepargpadro"/>
    <w:link w:val="Textodecomentrio"/>
    <w:uiPriority w:val="99"/>
    <w:semiHidden/>
    <w:rsid w:val="00FD6B58"/>
    <w:rPr>
      <w:sz w:val="20"/>
      <w:szCs w:val="20"/>
      <w:lang w:val="en-US"/>
    </w:rPr>
  </w:style>
  <w:style w:type="character" w:styleId="Refdecomentrio">
    <w:name w:val="annotation reference"/>
    <w:basedOn w:val="Fontepargpadro"/>
    <w:uiPriority w:val="99"/>
    <w:semiHidden/>
    <w:unhideWhenUsed/>
    <w:rsid w:val="00FD6B58"/>
    <w:rPr>
      <w:sz w:val="16"/>
      <w:szCs w:val="16"/>
    </w:rPr>
  </w:style>
  <w:style w:type="paragraph" w:styleId="Textodebalo">
    <w:name w:val="Balloon Text"/>
    <w:basedOn w:val="Normal"/>
    <w:link w:val="TextodebaloChar"/>
    <w:uiPriority w:val="99"/>
    <w:semiHidden/>
    <w:unhideWhenUsed/>
    <w:rsid w:val="00FD6B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6B58"/>
    <w:rPr>
      <w:rFonts w:ascii="Segoe UI" w:hAnsi="Segoe UI" w:cs="Segoe UI"/>
      <w:sz w:val="18"/>
      <w:szCs w:val="18"/>
    </w:rPr>
  </w:style>
  <w:style w:type="paragraph" w:customStyle="1" w:styleId="artigo">
    <w:name w:val="artigo"/>
    <w:basedOn w:val="Normal"/>
    <w:rsid w:val="00D937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93794"/>
  </w:style>
  <w:style w:type="character" w:styleId="Forte">
    <w:name w:val="Strong"/>
    <w:basedOn w:val="Fontepargpadro"/>
    <w:uiPriority w:val="22"/>
    <w:qFormat/>
    <w:rsid w:val="00CE6F9D"/>
    <w:rPr>
      <w:b/>
      <w:bCs/>
    </w:rPr>
  </w:style>
  <w:style w:type="paragraph" w:styleId="NormalWeb">
    <w:name w:val="Normal (Web)"/>
    <w:basedOn w:val="Normal"/>
    <w:uiPriority w:val="99"/>
    <w:semiHidden/>
    <w:unhideWhenUsed/>
    <w:rsid w:val="008B4E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
    <w:name w:val="_sc"/>
    <w:uiPriority w:val="99"/>
    <w:rsid w:val="00311E3C"/>
    <w:rPr>
      <w:smallCaps/>
    </w:rPr>
  </w:style>
  <w:style w:type="character" w:styleId="Hyperlink">
    <w:name w:val="Hyperlink"/>
    <w:basedOn w:val="Fontepargpadro"/>
    <w:uiPriority w:val="99"/>
    <w:unhideWhenUsed/>
    <w:rsid w:val="00B6060B"/>
    <w:rPr>
      <w:color w:val="0563C1" w:themeColor="hyperlink"/>
      <w:u w:val="single"/>
    </w:rPr>
  </w:style>
  <w:style w:type="character" w:customStyle="1" w:styleId="date-display-single">
    <w:name w:val="date-display-single"/>
    <w:basedOn w:val="Fontepargpadro"/>
    <w:rsid w:val="00736EC9"/>
  </w:style>
  <w:style w:type="character" w:customStyle="1" w:styleId="italic">
    <w:name w:val="_italic"/>
    <w:uiPriority w:val="99"/>
    <w:rsid w:val="00547DAE"/>
    <w:rPr>
      <w:i/>
      <w:iCs/>
    </w:rPr>
  </w:style>
  <w:style w:type="character" w:customStyle="1" w:styleId="Ttulo1Char">
    <w:name w:val="Título 1 Char"/>
    <w:basedOn w:val="Fontepargpadro"/>
    <w:link w:val="Ttulo1"/>
    <w:uiPriority w:val="9"/>
    <w:rsid w:val="001A306B"/>
    <w:rPr>
      <w:rFonts w:ascii="Times New Roman" w:eastAsia="Times New Roman" w:hAnsi="Times New Roman" w:cs="Times New Roman"/>
      <w:b/>
      <w:bCs/>
      <w:sz w:val="24"/>
      <w:szCs w:val="28"/>
      <w:lang w:val="en-US" w:bidi="en-US"/>
    </w:rPr>
  </w:style>
  <w:style w:type="character" w:customStyle="1" w:styleId="Ttulo2Char">
    <w:name w:val="Título 2 Char"/>
    <w:basedOn w:val="Fontepargpadro"/>
    <w:link w:val="Ttulo2"/>
    <w:uiPriority w:val="9"/>
    <w:semiHidden/>
    <w:rsid w:val="001B2246"/>
    <w:rPr>
      <w:rFonts w:asciiTheme="majorHAnsi" w:eastAsiaTheme="majorEastAsia" w:hAnsiTheme="majorHAnsi" w:cstheme="majorBidi"/>
      <w:color w:val="2E74B5" w:themeColor="accent1" w:themeShade="BF"/>
      <w:sz w:val="26"/>
      <w:szCs w:val="26"/>
    </w:rPr>
  </w:style>
  <w:style w:type="paragraph" w:customStyle="1" w:styleId="fn">
    <w:name w:val="fn"/>
    <w:basedOn w:val="Normal"/>
    <w:qFormat/>
    <w:rsid w:val="007350F3"/>
    <w:pPr>
      <w:spacing w:after="0" w:line="480" w:lineRule="auto"/>
    </w:pPr>
    <w:rPr>
      <w:rFonts w:ascii="Times New Roman" w:eastAsia="MS Mincho" w:hAnsi="Times New Roman" w:cs="Times New Roman"/>
      <w:lang w:val="en-US"/>
    </w:rPr>
  </w:style>
  <w:style w:type="paragraph" w:styleId="Textodenotadefim">
    <w:name w:val="endnote text"/>
    <w:basedOn w:val="Normal"/>
    <w:link w:val="TextodenotadefimChar"/>
    <w:uiPriority w:val="99"/>
    <w:semiHidden/>
    <w:unhideWhenUsed/>
    <w:rsid w:val="00813AC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13AC7"/>
    <w:rPr>
      <w:sz w:val="20"/>
      <w:szCs w:val="20"/>
    </w:rPr>
  </w:style>
  <w:style w:type="character" w:styleId="Refdenotadefim">
    <w:name w:val="endnote reference"/>
    <w:basedOn w:val="Fontepargpadro"/>
    <w:uiPriority w:val="99"/>
    <w:semiHidden/>
    <w:unhideWhenUsed/>
    <w:rsid w:val="00813AC7"/>
    <w:rPr>
      <w:vertAlign w:val="superscript"/>
    </w:rPr>
  </w:style>
  <w:style w:type="paragraph" w:customStyle="1" w:styleId="results-amount">
    <w:name w:val="results-amount"/>
    <w:basedOn w:val="Normal"/>
    <w:rsid w:val="009423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ilter">
    <w:name w:val="filter"/>
    <w:basedOn w:val="Fontepargpadro"/>
    <w:rsid w:val="0094233F"/>
  </w:style>
  <w:style w:type="paragraph" w:customStyle="1" w:styleId="info">
    <w:name w:val="info"/>
    <w:basedOn w:val="Normal"/>
    <w:rsid w:val="009423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nippet">
    <w:name w:val="snippet"/>
    <w:basedOn w:val="Normal"/>
    <w:rsid w:val="009423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285D2C"/>
    <w:pPr>
      <w:spacing w:before="100" w:beforeAutospacing="1" w:after="100" w:afterAutospacing="1" w:line="240" w:lineRule="auto"/>
      <w:jc w:val="both"/>
    </w:pPr>
    <w:rPr>
      <w:rFonts w:ascii="Segoe UI" w:eastAsia="Times New Roman" w:hAnsi="Segoe UI" w:cs="Segoe UI"/>
      <w:sz w:val="20"/>
      <w:szCs w:val="20"/>
      <w:lang w:eastAsia="pt-BR"/>
    </w:rPr>
  </w:style>
  <w:style w:type="paragraph" w:customStyle="1" w:styleId="Default">
    <w:name w:val="Default"/>
    <w:rsid w:val="007852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5Char">
    <w:name w:val="Título 5 Char"/>
    <w:basedOn w:val="Fontepargpadro"/>
    <w:link w:val="Ttulo5"/>
    <w:uiPriority w:val="9"/>
    <w:semiHidden/>
    <w:rsid w:val="000D1CD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967">
      <w:bodyDiv w:val="1"/>
      <w:marLeft w:val="0"/>
      <w:marRight w:val="0"/>
      <w:marTop w:val="0"/>
      <w:marBottom w:val="0"/>
      <w:divBdr>
        <w:top w:val="none" w:sz="0" w:space="0" w:color="auto"/>
        <w:left w:val="none" w:sz="0" w:space="0" w:color="auto"/>
        <w:bottom w:val="none" w:sz="0" w:space="0" w:color="auto"/>
        <w:right w:val="none" w:sz="0" w:space="0" w:color="auto"/>
      </w:divBdr>
      <w:divsChild>
        <w:div w:id="1912500439">
          <w:marLeft w:val="0"/>
          <w:marRight w:val="0"/>
          <w:marTop w:val="0"/>
          <w:marBottom w:val="0"/>
          <w:divBdr>
            <w:top w:val="none" w:sz="0" w:space="0" w:color="auto"/>
            <w:left w:val="none" w:sz="0" w:space="0" w:color="auto"/>
            <w:bottom w:val="none" w:sz="0" w:space="0" w:color="auto"/>
            <w:right w:val="none" w:sz="0" w:space="0" w:color="auto"/>
          </w:divBdr>
          <w:divsChild>
            <w:div w:id="15741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4737">
      <w:bodyDiv w:val="1"/>
      <w:marLeft w:val="0"/>
      <w:marRight w:val="0"/>
      <w:marTop w:val="0"/>
      <w:marBottom w:val="0"/>
      <w:divBdr>
        <w:top w:val="none" w:sz="0" w:space="0" w:color="auto"/>
        <w:left w:val="none" w:sz="0" w:space="0" w:color="auto"/>
        <w:bottom w:val="none" w:sz="0" w:space="0" w:color="auto"/>
        <w:right w:val="none" w:sz="0" w:space="0" w:color="auto"/>
      </w:divBdr>
    </w:div>
    <w:div w:id="204830284">
      <w:bodyDiv w:val="1"/>
      <w:marLeft w:val="0"/>
      <w:marRight w:val="0"/>
      <w:marTop w:val="0"/>
      <w:marBottom w:val="0"/>
      <w:divBdr>
        <w:top w:val="none" w:sz="0" w:space="0" w:color="auto"/>
        <w:left w:val="none" w:sz="0" w:space="0" w:color="auto"/>
        <w:bottom w:val="none" w:sz="0" w:space="0" w:color="auto"/>
        <w:right w:val="none" w:sz="0" w:space="0" w:color="auto"/>
      </w:divBdr>
      <w:divsChild>
        <w:div w:id="373970810">
          <w:marLeft w:val="0"/>
          <w:marRight w:val="0"/>
          <w:marTop w:val="0"/>
          <w:marBottom w:val="0"/>
          <w:divBdr>
            <w:top w:val="none" w:sz="0" w:space="0" w:color="auto"/>
            <w:left w:val="none" w:sz="0" w:space="0" w:color="auto"/>
            <w:bottom w:val="none" w:sz="0" w:space="0" w:color="auto"/>
            <w:right w:val="none" w:sz="0" w:space="0" w:color="auto"/>
          </w:divBdr>
          <w:divsChild>
            <w:div w:id="1303654994">
              <w:marLeft w:val="0"/>
              <w:marRight w:val="0"/>
              <w:marTop w:val="0"/>
              <w:marBottom w:val="0"/>
              <w:divBdr>
                <w:top w:val="none" w:sz="0" w:space="0" w:color="auto"/>
                <w:left w:val="none" w:sz="0" w:space="0" w:color="auto"/>
                <w:bottom w:val="none" w:sz="0" w:space="0" w:color="auto"/>
                <w:right w:val="none" w:sz="0" w:space="0" w:color="auto"/>
              </w:divBdr>
              <w:divsChild>
                <w:div w:id="1933321154">
                  <w:marLeft w:val="0"/>
                  <w:marRight w:val="0"/>
                  <w:marTop w:val="0"/>
                  <w:marBottom w:val="0"/>
                  <w:divBdr>
                    <w:top w:val="none" w:sz="0" w:space="0" w:color="auto"/>
                    <w:left w:val="none" w:sz="0" w:space="0" w:color="auto"/>
                    <w:bottom w:val="none" w:sz="0" w:space="0" w:color="auto"/>
                    <w:right w:val="none" w:sz="0" w:space="0" w:color="auto"/>
                  </w:divBdr>
                  <w:divsChild>
                    <w:div w:id="1101343336">
                      <w:marLeft w:val="0"/>
                      <w:marRight w:val="0"/>
                      <w:marTop w:val="0"/>
                      <w:marBottom w:val="0"/>
                      <w:divBdr>
                        <w:top w:val="none" w:sz="0" w:space="0" w:color="auto"/>
                        <w:left w:val="none" w:sz="0" w:space="0" w:color="auto"/>
                        <w:bottom w:val="none" w:sz="0" w:space="0" w:color="auto"/>
                        <w:right w:val="none" w:sz="0" w:space="0" w:color="auto"/>
                      </w:divBdr>
                      <w:divsChild>
                        <w:div w:id="727387399">
                          <w:marLeft w:val="0"/>
                          <w:marRight w:val="0"/>
                          <w:marTop w:val="0"/>
                          <w:marBottom w:val="0"/>
                          <w:divBdr>
                            <w:top w:val="none" w:sz="0" w:space="0" w:color="auto"/>
                            <w:left w:val="none" w:sz="0" w:space="0" w:color="auto"/>
                            <w:bottom w:val="none" w:sz="0" w:space="0" w:color="auto"/>
                            <w:right w:val="none" w:sz="0" w:space="0" w:color="auto"/>
                          </w:divBdr>
                          <w:divsChild>
                            <w:div w:id="1743288877">
                              <w:marLeft w:val="0"/>
                              <w:marRight w:val="0"/>
                              <w:marTop w:val="0"/>
                              <w:marBottom w:val="0"/>
                              <w:divBdr>
                                <w:top w:val="none" w:sz="0" w:space="0" w:color="auto"/>
                                <w:left w:val="none" w:sz="0" w:space="0" w:color="auto"/>
                                <w:bottom w:val="none" w:sz="0" w:space="0" w:color="auto"/>
                                <w:right w:val="none" w:sz="0" w:space="0" w:color="auto"/>
                              </w:divBdr>
                              <w:divsChild>
                                <w:div w:id="1697196021">
                                  <w:marLeft w:val="0"/>
                                  <w:marRight w:val="0"/>
                                  <w:marTop w:val="0"/>
                                  <w:marBottom w:val="0"/>
                                  <w:divBdr>
                                    <w:top w:val="none" w:sz="0" w:space="0" w:color="auto"/>
                                    <w:left w:val="none" w:sz="0" w:space="0" w:color="auto"/>
                                    <w:bottom w:val="none" w:sz="0" w:space="0" w:color="auto"/>
                                    <w:right w:val="none" w:sz="0" w:space="0" w:color="auto"/>
                                  </w:divBdr>
                                  <w:divsChild>
                                    <w:div w:id="2046832753">
                                      <w:marLeft w:val="0"/>
                                      <w:marRight w:val="0"/>
                                      <w:marTop w:val="0"/>
                                      <w:marBottom w:val="0"/>
                                      <w:divBdr>
                                        <w:top w:val="none" w:sz="0" w:space="0" w:color="auto"/>
                                        <w:left w:val="none" w:sz="0" w:space="0" w:color="auto"/>
                                        <w:bottom w:val="none" w:sz="0" w:space="0" w:color="auto"/>
                                        <w:right w:val="none" w:sz="0" w:space="0" w:color="auto"/>
                                      </w:divBdr>
                                      <w:divsChild>
                                        <w:div w:id="548078762">
                                          <w:marLeft w:val="0"/>
                                          <w:marRight w:val="0"/>
                                          <w:marTop w:val="0"/>
                                          <w:marBottom w:val="0"/>
                                          <w:divBdr>
                                            <w:top w:val="none" w:sz="0" w:space="0" w:color="auto"/>
                                            <w:left w:val="none" w:sz="0" w:space="0" w:color="auto"/>
                                            <w:bottom w:val="none" w:sz="0" w:space="0" w:color="auto"/>
                                            <w:right w:val="none" w:sz="0" w:space="0" w:color="auto"/>
                                          </w:divBdr>
                                          <w:divsChild>
                                            <w:div w:id="1211115213">
                                              <w:marLeft w:val="0"/>
                                              <w:marRight w:val="0"/>
                                              <w:marTop w:val="0"/>
                                              <w:marBottom w:val="0"/>
                                              <w:divBdr>
                                                <w:top w:val="single" w:sz="12" w:space="2" w:color="FFFFCC"/>
                                                <w:left w:val="single" w:sz="12" w:space="2" w:color="FFFFCC"/>
                                                <w:bottom w:val="single" w:sz="12" w:space="2" w:color="FFFFCC"/>
                                                <w:right w:val="single" w:sz="12" w:space="0" w:color="FFFFCC"/>
                                              </w:divBdr>
                                              <w:divsChild>
                                                <w:div w:id="107742293">
                                                  <w:marLeft w:val="0"/>
                                                  <w:marRight w:val="0"/>
                                                  <w:marTop w:val="0"/>
                                                  <w:marBottom w:val="0"/>
                                                  <w:divBdr>
                                                    <w:top w:val="none" w:sz="0" w:space="0" w:color="auto"/>
                                                    <w:left w:val="none" w:sz="0" w:space="0" w:color="auto"/>
                                                    <w:bottom w:val="none" w:sz="0" w:space="0" w:color="auto"/>
                                                    <w:right w:val="none" w:sz="0" w:space="0" w:color="auto"/>
                                                  </w:divBdr>
                                                  <w:divsChild>
                                                    <w:div w:id="260795680">
                                                      <w:marLeft w:val="0"/>
                                                      <w:marRight w:val="0"/>
                                                      <w:marTop w:val="0"/>
                                                      <w:marBottom w:val="0"/>
                                                      <w:divBdr>
                                                        <w:top w:val="none" w:sz="0" w:space="0" w:color="auto"/>
                                                        <w:left w:val="none" w:sz="0" w:space="0" w:color="auto"/>
                                                        <w:bottom w:val="none" w:sz="0" w:space="0" w:color="auto"/>
                                                        <w:right w:val="none" w:sz="0" w:space="0" w:color="auto"/>
                                                      </w:divBdr>
                                                      <w:divsChild>
                                                        <w:div w:id="1313828241">
                                                          <w:marLeft w:val="0"/>
                                                          <w:marRight w:val="0"/>
                                                          <w:marTop w:val="0"/>
                                                          <w:marBottom w:val="0"/>
                                                          <w:divBdr>
                                                            <w:top w:val="none" w:sz="0" w:space="0" w:color="auto"/>
                                                            <w:left w:val="none" w:sz="0" w:space="0" w:color="auto"/>
                                                            <w:bottom w:val="none" w:sz="0" w:space="0" w:color="auto"/>
                                                            <w:right w:val="none" w:sz="0" w:space="0" w:color="auto"/>
                                                          </w:divBdr>
                                                          <w:divsChild>
                                                            <w:div w:id="1652785146">
                                                              <w:marLeft w:val="0"/>
                                                              <w:marRight w:val="0"/>
                                                              <w:marTop w:val="0"/>
                                                              <w:marBottom w:val="0"/>
                                                              <w:divBdr>
                                                                <w:top w:val="none" w:sz="0" w:space="0" w:color="auto"/>
                                                                <w:left w:val="none" w:sz="0" w:space="0" w:color="auto"/>
                                                                <w:bottom w:val="none" w:sz="0" w:space="0" w:color="auto"/>
                                                                <w:right w:val="none" w:sz="0" w:space="0" w:color="auto"/>
                                                              </w:divBdr>
                                                              <w:divsChild>
                                                                <w:div w:id="528445357">
                                                                  <w:marLeft w:val="0"/>
                                                                  <w:marRight w:val="0"/>
                                                                  <w:marTop w:val="0"/>
                                                                  <w:marBottom w:val="0"/>
                                                                  <w:divBdr>
                                                                    <w:top w:val="none" w:sz="0" w:space="0" w:color="auto"/>
                                                                    <w:left w:val="none" w:sz="0" w:space="0" w:color="auto"/>
                                                                    <w:bottom w:val="none" w:sz="0" w:space="0" w:color="auto"/>
                                                                    <w:right w:val="none" w:sz="0" w:space="0" w:color="auto"/>
                                                                  </w:divBdr>
                                                                  <w:divsChild>
                                                                    <w:div w:id="5598626">
                                                                      <w:marLeft w:val="0"/>
                                                                      <w:marRight w:val="0"/>
                                                                      <w:marTop w:val="0"/>
                                                                      <w:marBottom w:val="0"/>
                                                                      <w:divBdr>
                                                                        <w:top w:val="none" w:sz="0" w:space="0" w:color="auto"/>
                                                                        <w:left w:val="none" w:sz="0" w:space="0" w:color="auto"/>
                                                                        <w:bottom w:val="none" w:sz="0" w:space="0" w:color="auto"/>
                                                                        <w:right w:val="none" w:sz="0" w:space="0" w:color="auto"/>
                                                                      </w:divBdr>
                                                                      <w:divsChild>
                                                                        <w:div w:id="1027373094">
                                                                          <w:marLeft w:val="0"/>
                                                                          <w:marRight w:val="0"/>
                                                                          <w:marTop w:val="0"/>
                                                                          <w:marBottom w:val="0"/>
                                                                          <w:divBdr>
                                                                            <w:top w:val="none" w:sz="0" w:space="0" w:color="auto"/>
                                                                            <w:left w:val="none" w:sz="0" w:space="0" w:color="auto"/>
                                                                            <w:bottom w:val="none" w:sz="0" w:space="0" w:color="auto"/>
                                                                            <w:right w:val="none" w:sz="0" w:space="0" w:color="auto"/>
                                                                          </w:divBdr>
                                                                          <w:divsChild>
                                                                            <w:div w:id="1636333645">
                                                                              <w:marLeft w:val="0"/>
                                                                              <w:marRight w:val="0"/>
                                                                              <w:marTop w:val="0"/>
                                                                              <w:marBottom w:val="0"/>
                                                                              <w:divBdr>
                                                                                <w:top w:val="none" w:sz="0" w:space="0" w:color="auto"/>
                                                                                <w:left w:val="none" w:sz="0" w:space="0" w:color="auto"/>
                                                                                <w:bottom w:val="none" w:sz="0" w:space="0" w:color="auto"/>
                                                                                <w:right w:val="none" w:sz="0" w:space="0" w:color="auto"/>
                                                                              </w:divBdr>
                                                                              <w:divsChild>
                                                                                <w:div w:id="1032993749">
                                                                                  <w:marLeft w:val="0"/>
                                                                                  <w:marRight w:val="0"/>
                                                                                  <w:marTop w:val="0"/>
                                                                                  <w:marBottom w:val="0"/>
                                                                                  <w:divBdr>
                                                                                    <w:top w:val="none" w:sz="0" w:space="0" w:color="auto"/>
                                                                                    <w:left w:val="none" w:sz="0" w:space="0" w:color="auto"/>
                                                                                    <w:bottom w:val="none" w:sz="0" w:space="0" w:color="auto"/>
                                                                                    <w:right w:val="none" w:sz="0" w:space="0" w:color="auto"/>
                                                                                  </w:divBdr>
                                                                                  <w:divsChild>
                                                                                    <w:div w:id="358623503">
                                                                                      <w:marLeft w:val="0"/>
                                                                                      <w:marRight w:val="0"/>
                                                                                      <w:marTop w:val="0"/>
                                                                                      <w:marBottom w:val="0"/>
                                                                                      <w:divBdr>
                                                                                        <w:top w:val="none" w:sz="0" w:space="0" w:color="auto"/>
                                                                                        <w:left w:val="none" w:sz="0" w:space="0" w:color="auto"/>
                                                                                        <w:bottom w:val="none" w:sz="0" w:space="0" w:color="auto"/>
                                                                                        <w:right w:val="none" w:sz="0" w:space="0" w:color="auto"/>
                                                                                      </w:divBdr>
                                                                                      <w:divsChild>
                                                                                        <w:div w:id="1871797405">
                                                                                          <w:marLeft w:val="0"/>
                                                                                          <w:marRight w:val="120"/>
                                                                                          <w:marTop w:val="0"/>
                                                                                          <w:marBottom w:val="150"/>
                                                                                          <w:divBdr>
                                                                                            <w:top w:val="single" w:sz="2" w:space="0" w:color="EFEFEF"/>
                                                                                            <w:left w:val="single" w:sz="6" w:space="0" w:color="EFEFEF"/>
                                                                                            <w:bottom w:val="single" w:sz="6" w:space="0" w:color="E2E2E2"/>
                                                                                            <w:right w:val="single" w:sz="6" w:space="0" w:color="EFEFEF"/>
                                                                                          </w:divBdr>
                                                                                          <w:divsChild>
                                                                                            <w:div w:id="577986666">
                                                                                              <w:marLeft w:val="0"/>
                                                                                              <w:marRight w:val="0"/>
                                                                                              <w:marTop w:val="0"/>
                                                                                              <w:marBottom w:val="0"/>
                                                                                              <w:divBdr>
                                                                                                <w:top w:val="none" w:sz="0" w:space="0" w:color="auto"/>
                                                                                                <w:left w:val="none" w:sz="0" w:space="0" w:color="auto"/>
                                                                                                <w:bottom w:val="none" w:sz="0" w:space="0" w:color="auto"/>
                                                                                                <w:right w:val="none" w:sz="0" w:space="0" w:color="auto"/>
                                                                                              </w:divBdr>
                                                                                              <w:divsChild>
                                                                                                <w:div w:id="2025666004">
                                                                                                  <w:marLeft w:val="0"/>
                                                                                                  <w:marRight w:val="0"/>
                                                                                                  <w:marTop w:val="0"/>
                                                                                                  <w:marBottom w:val="0"/>
                                                                                                  <w:divBdr>
                                                                                                    <w:top w:val="none" w:sz="0" w:space="0" w:color="auto"/>
                                                                                                    <w:left w:val="none" w:sz="0" w:space="0" w:color="auto"/>
                                                                                                    <w:bottom w:val="none" w:sz="0" w:space="0" w:color="auto"/>
                                                                                                    <w:right w:val="none" w:sz="0" w:space="0" w:color="auto"/>
                                                                                                  </w:divBdr>
                                                                                                  <w:divsChild>
                                                                                                    <w:div w:id="1937862650">
                                                                                                      <w:marLeft w:val="0"/>
                                                                                                      <w:marRight w:val="0"/>
                                                                                                      <w:marTop w:val="0"/>
                                                                                                      <w:marBottom w:val="0"/>
                                                                                                      <w:divBdr>
                                                                                                        <w:top w:val="none" w:sz="0" w:space="0" w:color="auto"/>
                                                                                                        <w:left w:val="none" w:sz="0" w:space="0" w:color="auto"/>
                                                                                                        <w:bottom w:val="none" w:sz="0" w:space="0" w:color="auto"/>
                                                                                                        <w:right w:val="none" w:sz="0" w:space="0" w:color="auto"/>
                                                                                                      </w:divBdr>
                                                                                                      <w:divsChild>
                                                                                                        <w:div w:id="274337315">
                                                                                                          <w:marLeft w:val="0"/>
                                                                                                          <w:marRight w:val="0"/>
                                                                                                          <w:marTop w:val="0"/>
                                                                                                          <w:marBottom w:val="0"/>
                                                                                                          <w:divBdr>
                                                                                                            <w:top w:val="none" w:sz="0" w:space="0" w:color="auto"/>
                                                                                                            <w:left w:val="none" w:sz="0" w:space="0" w:color="auto"/>
                                                                                                            <w:bottom w:val="none" w:sz="0" w:space="0" w:color="auto"/>
                                                                                                            <w:right w:val="none" w:sz="0" w:space="0" w:color="auto"/>
                                                                                                          </w:divBdr>
                                                                                                          <w:divsChild>
                                                                                                            <w:div w:id="1863738869">
                                                                                                              <w:marLeft w:val="0"/>
                                                                                                              <w:marRight w:val="0"/>
                                                                                                              <w:marTop w:val="0"/>
                                                                                                              <w:marBottom w:val="0"/>
                                                                                                              <w:divBdr>
                                                                                                                <w:top w:val="none" w:sz="0" w:space="0" w:color="auto"/>
                                                                                                                <w:left w:val="none" w:sz="0" w:space="0" w:color="auto"/>
                                                                                                                <w:bottom w:val="none" w:sz="0" w:space="0" w:color="auto"/>
                                                                                                                <w:right w:val="none" w:sz="0" w:space="0" w:color="auto"/>
                                                                                                              </w:divBdr>
                                                                                                              <w:divsChild>
                                                                                                                <w:div w:id="2056929938">
                                                                                                                  <w:marLeft w:val="0"/>
                                                                                                                  <w:marRight w:val="0"/>
                                                                                                                  <w:marTop w:val="0"/>
                                                                                                                  <w:marBottom w:val="0"/>
                                                                                                                  <w:divBdr>
                                                                                                                    <w:top w:val="single" w:sz="2" w:space="4" w:color="D8D8D8"/>
                                                                                                                    <w:left w:val="single" w:sz="2" w:space="0" w:color="D8D8D8"/>
                                                                                                                    <w:bottom w:val="single" w:sz="2" w:space="4" w:color="D8D8D8"/>
                                                                                                                    <w:right w:val="single" w:sz="2" w:space="0" w:color="D8D8D8"/>
                                                                                                                  </w:divBdr>
                                                                                                                  <w:divsChild>
                                                                                                                    <w:div w:id="1532106597">
                                                                                                                      <w:marLeft w:val="225"/>
                                                                                                                      <w:marRight w:val="225"/>
                                                                                                                      <w:marTop w:val="75"/>
                                                                                                                      <w:marBottom w:val="75"/>
                                                                                                                      <w:divBdr>
                                                                                                                        <w:top w:val="none" w:sz="0" w:space="0" w:color="auto"/>
                                                                                                                        <w:left w:val="none" w:sz="0" w:space="0" w:color="auto"/>
                                                                                                                        <w:bottom w:val="none" w:sz="0" w:space="0" w:color="auto"/>
                                                                                                                        <w:right w:val="none" w:sz="0" w:space="0" w:color="auto"/>
                                                                                                                      </w:divBdr>
                                                                                                                      <w:divsChild>
                                                                                                                        <w:div w:id="133373212">
                                                                                                                          <w:marLeft w:val="0"/>
                                                                                                                          <w:marRight w:val="0"/>
                                                                                                                          <w:marTop w:val="0"/>
                                                                                                                          <w:marBottom w:val="0"/>
                                                                                                                          <w:divBdr>
                                                                                                                            <w:top w:val="single" w:sz="6" w:space="0" w:color="auto"/>
                                                                                                                            <w:left w:val="single" w:sz="6" w:space="0" w:color="auto"/>
                                                                                                                            <w:bottom w:val="single" w:sz="6" w:space="0" w:color="auto"/>
                                                                                                                            <w:right w:val="single" w:sz="6" w:space="0" w:color="auto"/>
                                                                                                                          </w:divBdr>
                                                                                                                          <w:divsChild>
                                                                                                                            <w:div w:id="926495414">
                                                                                                                              <w:marLeft w:val="0"/>
                                                                                                                              <w:marRight w:val="0"/>
                                                                                                                              <w:marTop w:val="0"/>
                                                                                                                              <w:marBottom w:val="0"/>
                                                                                                                              <w:divBdr>
                                                                                                                                <w:top w:val="none" w:sz="0" w:space="0" w:color="auto"/>
                                                                                                                                <w:left w:val="none" w:sz="0" w:space="0" w:color="auto"/>
                                                                                                                                <w:bottom w:val="none" w:sz="0" w:space="0" w:color="auto"/>
                                                                                                                                <w:right w:val="none" w:sz="0" w:space="0" w:color="auto"/>
                                                                                                                              </w:divBdr>
                                                                                                                              <w:divsChild>
                                                                                                                                <w:div w:id="768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894819">
      <w:bodyDiv w:val="1"/>
      <w:marLeft w:val="0"/>
      <w:marRight w:val="0"/>
      <w:marTop w:val="0"/>
      <w:marBottom w:val="0"/>
      <w:divBdr>
        <w:top w:val="none" w:sz="0" w:space="0" w:color="auto"/>
        <w:left w:val="none" w:sz="0" w:space="0" w:color="auto"/>
        <w:bottom w:val="none" w:sz="0" w:space="0" w:color="auto"/>
        <w:right w:val="none" w:sz="0" w:space="0" w:color="auto"/>
      </w:divBdr>
      <w:divsChild>
        <w:div w:id="113446289">
          <w:marLeft w:val="0"/>
          <w:marRight w:val="0"/>
          <w:marTop w:val="0"/>
          <w:marBottom w:val="0"/>
          <w:divBdr>
            <w:top w:val="none" w:sz="0" w:space="0" w:color="auto"/>
            <w:left w:val="none" w:sz="0" w:space="0" w:color="auto"/>
            <w:bottom w:val="none" w:sz="0" w:space="0" w:color="auto"/>
            <w:right w:val="none" w:sz="0" w:space="0" w:color="auto"/>
          </w:divBdr>
          <w:divsChild>
            <w:div w:id="2107997490">
              <w:marLeft w:val="0"/>
              <w:marRight w:val="0"/>
              <w:marTop w:val="0"/>
              <w:marBottom w:val="0"/>
              <w:divBdr>
                <w:top w:val="none" w:sz="0" w:space="0" w:color="auto"/>
                <w:left w:val="none" w:sz="0" w:space="0" w:color="auto"/>
                <w:bottom w:val="none" w:sz="0" w:space="0" w:color="auto"/>
                <w:right w:val="none" w:sz="0" w:space="0" w:color="auto"/>
              </w:divBdr>
              <w:divsChild>
                <w:div w:id="738475990">
                  <w:marLeft w:val="0"/>
                  <w:marRight w:val="0"/>
                  <w:marTop w:val="0"/>
                  <w:marBottom w:val="0"/>
                  <w:divBdr>
                    <w:top w:val="none" w:sz="0" w:space="0" w:color="auto"/>
                    <w:left w:val="none" w:sz="0" w:space="0" w:color="auto"/>
                    <w:bottom w:val="none" w:sz="0" w:space="0" w:color="auto"/>
                    <w:right w:val="none" w:sz="0" w:space="0" w:color="auto"/>
                  </w:divBdr>
                  <w:divsChild>
                    <w:div w:id="6716539">
                      <w:marLeft w:val="0"/>
                      <w:marRight w:val="0"/>
                      <w:marTop w:val="0"/>
                      <w:marBottom w:val="0"/>
                      <w:divBdr>
                        <w:top w:val="none" w:sz="0" w:space="0" w:color="auto"/>
                        <w:left w:val="none" w:sz="0" w:space="0" w:color="auto"/>
                        <w:bottom w:val="none" w:sz="0" w:space="0" w:color="auto"/>
                        <w:right w:val="none" w:sz="0" w:space="0" w:color="auto"/>
                      </w:divBdr>
                      <w:divsChild>
                        <w:div w:id="1661232649">
                          <w:marLeft w:val="0"/>
                          <w:marRight w:val="0"/>
                          <w:marTop w:val="0"/>
                          <w:marBottom w:val="0"/>
                          <w:divBdr>
                            <w:top w:val="none" w:sz="0" w:space="0" w:color="auto"/>
                            <w:left w:val="none" w:sz="0" w:space="0" w:color="auto"/>
                            <w:bottom w:val="none" w:sz="0" w:space="0" w:color="auto"/>
                            <w:right w:val="none" w:sz="0" w:space="0" w:color="auto"/>
                          </w:divBdr>
                          <w:divsChild>
                            <w:div w:id="1049495745">
                              <w:marLeft w:val="0"/>
                              <w:marRight w:val="0"/>
                              <w:marTop w:val="0"/>
                              <w:marBottom w:val="0"/>
                              <w:divBdr>
                                <w:top w:val="none" w:sz="0" w:space="0" w:color="auto"/>
                                <w:left w:val="none" w:sz="0" w:space="0" w:color="auto"/>
                                <w:bottom w:val="none" w:sz="0" w:space="0" w:color="auto"/>
                                <w:right w:val="none" w:sz="0" w:space="0" w:color="auto"/>
                              </w:divBdr>
                              <w:divsChild>
                                <w:div w:id="1830516329">
                                  <w:marLeft w:val="0"/>
                                  <w:marRight w:val="0"/>
                                  <w:marTop w:val="0"/>
                                  <w:marBottom w:val="0"/>
                                  <w:divBdr>
                                    <w:top w:val="none" w:sz="0" w:space="0" w:color="auto"/>
                                    <w:left w:val="none" w:sz="0" w:space="0" w:color="auto"/>
                                    <w:bottom w:val="none" w:sz="0" w:space="0" w:color="auto"/>
                                    <w:right w:val="none" w:sz="0" w:space="0" w:color="auto"/>
                                  </w:divBdr>
                                  <w:divsChild>
                                    <w:div w:id="1002439062">
                                      <w:marLeft w:val="0"/>
                                      <w:marRight w:val="0"/>
                                      <w:marTop w:val="0"/>
                                      <w:marBottom w:val="0"/>
                                      <w:divBdr>
                                        <w:top w:val="none" w:sz="0" w:space="0" w:color="auto"/>
                                        <w:left w:val="none" w:sz="0" w:space="0" w:color="auto"/>
                                        <w:bottom w:val="none" w:sz="0" w:space="0" w:color="auto"/>
                                        <w:right w:val="none" w:sz="0" w:space="0" w:color="auto"/>
                                      </w:divBdr>
                                      <w:divsChild>
                                        <w:div w:id="145516796">
                                          <w:marLeft w:val="0"/>
                                          <w:marRight w:val="0"/>
                                          <w:marTop w:val="0"/>
                                          <w:marBottom w:val="0"/>
                                          <w:divBdr>
                                            <w:top w:val="none" w:sz="0" w:space="0" w:color="auto"/>
                                            <w:left w:val="none" w:sz="0" w:space="0" w:color="auto"/>
                                            <w:bottom w:val="none" w:sz="0" w:space="0" w:color="auto"/>
                                            <w:right w:val="none" w:sz="0" w:space="0" w:color="auto"/>
                                          </w:divBdr>
                                          <w:divsChild>
                                            <w:div w:id="151651282">
                                              <w:marLeft w:val="0"/>
                                              <w:marRight w:val="0"/>
                                              <w:marTop w:val="0"/>
                                              <w:marBottom w:val="0"/>
                                              <w:divBdr>
                                                <w:top w:val="none" w:sz="0" w:space="0" w:color="auto"/>
                                                <w:left w:val="none" w:sz="0" w:space="0" w:color="auto"/>
                                                <w:bottom w:val="none" w:sz="0" w:space="0" w:color="auto"/>
                                                <w:right w:val="none" w:sz="0" w:space="0" w:color="auto"/>
                                              </w:divBdr>
                                              <w:divsChild>
                                                <w:div w:id="1086075524">
                                                  <w:marLeft w:val="0"/>
                                                  <w:marRight w:val="0"/>
                                                  <w:marTop w:val="0"/>
                                                  <w:marBottom w:val="0"/>
                                                  <w:divBdr>
                                                    <w:top w:val="none" w:sz="0" w:space="0" w:color="auto"/>
                                                    <w:left w:val="none" w:sz="0" w:space="0" w:color="auto"/>
                                                    <w:bottom w:val="none" w:sz="0" w:space="0" w:color="auto"/>
                                                    <w:right w:val="none" w:sz="0" w:space="0" w:color="auto"/>
                                                  </w:divBdr>
                                                  <w:divsChild>
                                                    <w:div w:id="1378894904">
                                                      <w:marLeft w:val="0"/>
                                                      <w:marRight w:val="0"/>
                                                      <w:marTop w:val="0"/>
                                                      <w:marBottom w:val="0"/>
                                                      <w:divBdr>
                                                        <w:top w:val="none" w:sz="0" w:space="0" w:color="auto"/>
                                                        <w:left w:val="none" w:sz="0" w:space="0" w:color="auto"/>
                                                        <w:bottom w:val="none" w:sz="0" w:space="0" w:color="auto"/>
                                                        <w:right w:val="none" w:sz="0" w:space="0" w:color="auto"/>
                                                      </w:divBdr>
                                                      <w:divsChild>
                                                        <w:div w:id="257491476">
                                                          <w:marLeft w:val="0"/>
                                                          <w:marRight w:val="0"/>
                                                          <w:marTop w:val="0"/>
                                                          <w:marBottom w:val="0"/>
                                                          <w:divBdr>
                                                            <w:top w:val="none" w:sz="0" w:space="0" w:color="auto"/>
                                                            <w:left w:val="none" w:sz="0" w:space="0" w:color="auto"/>
                                                            <w:bottom w:val="none" w:sz="0" w:space="0" w:color="auto"/>
                                                            <w:right w:val="none" w:sz="0" w:space="0" w:color="auto"/>
                                                          </w:divBdr>
                                                          <w:divsChild>
                                                            <w:div w:id="295332171">
                                                              <w:marLeft w:val="0"/>
                                                              <w:marRight w:val="0"/>
                                                              <w:marTop w:val="0"/>
                                                              <w:marBottom w:val="0"/>
                                                              <w:divBdr>
                                                                <w:top w:val="none" w:sz="0" w:space="0" w:color="auto"/>
                                                                <w:left w:val="none" w:sz="0" w:space="0" w:color="auto"/>
                                                                <w:bottom w:val="none" w:sz="0" w:space="0" w:color="auto"/>
                                                                <w:right w:val="none" w:sz="0" w:space="0" w:color="auto"/>
                                                              </w:divBdr>
                                                              <w:divsChild>
                                                                <w:div w:id="180121355">
                                                                  <w:marLeft w:val="0"/>
                                                                  <w:marRight w:val="0"/>
                                                                  <w:marTop w:val="0"/>
                                                                  <w:marBottom w:val="0"/>
                                                                  <w:divBdr>
                                                                    <w:top w:val="none" w:sz="0" w:space="0" w:color="auto"/>
                                                                    <w:left w:val="none" w:sz="0" w:space="0" w:color="auto"/>
                                                                    <w:bottom w:val="none" w:sz="0" w:space="0" w:color="auto"/>
                                                                    <w:right w:val="none" w:sz="0" w:space="0" w:color="auto"/>
                                                                  </w:divBdr>
                                                                  <w:divsChild>
                                                                    <w:div w:id="2866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4818">
                                                              <w:marLeft w:val="0"/>
                                                              <w:marRight w:val="0"/>
                                                              <w:marTop w:val="0"/>
                                                              <w:marBottom w:val="0"/>
                                                              <w:divBdr>
                                                                <w:top w:val="none" w:sz="0" w:space="0" w:color="auto"/>
                                                                <w:left w:val="none" w:sz="0" w:space="0" w:color="auto"/>
                                                                <w:bottom w:val="none" w:sz="0" w:space="0" w:color="auto"/>
                                                                <w:right w:val="none" w:sz="0" w:space="0" w:color="auto"/>
                                                              </w:divBdr>
                                                              <w:divsChild>
                                                                <w:div w:id="429548220">
                                                                  <w:marLeft w:val="0"/>
                                                                  <w:marRight w:val="0"/>
                                                                  <w:marTop w:val="0"/>
                                                                  <w:marBottom w:val="0"/>
                                                                  <w:divBdr>
                                                                    <w:top w:val="none" w:sz="0" w:space="0" w:color="auto"/>
                                                                    <w:left w:val="none" w:sz="0" w:space="0" w:color="auto"/>
                                                                    <w:bottom w:val="none" w:sz="0" w:space="0" w:color="auto"/>
                                                                    <w:right w:val="none" w:sz="0" w:space="0" w:color="auto"/>
                                                                  </w:divBdr>
                                                                </w:div>
                                                                <w:div w:id="305816368">
                                                                  <w:marLeft w:val="0"/>
                                                                  <w:marRight w:val="0"/>
                                                                  <w:marTop w:val="0"/>
                                                                  <w:marBottom w:val="0"/>
                                                                  <w:divBdr>
                                                                    <w:top w:val="none" w:sz="0" w:space="0" w:color="auto"/>
                                                                    <w:left w:val="none" w:sz="0" w:space="0" w:color="auto"/>
                                                                    <w:bottom w:val="none" w:sz="0" w:space="0" w:color="auto"/>
                                                                    <w:right w:val="none" w:sz="0" w:space="0" w:color="auto"/>
                                                                  </w:divBdr>
                                                                  <w:divsChild>
                                                                    <w:div w:id="16607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2199519">
      <w:bodyDiv w:val="1"/>
      <w:marLeft w:val="0"/>
      <w:marRight w:val="0"/>
      <w:marTop w:val="0"/>
      <w:marBottom w:val="0"/>
      <w:divBdr>
        <w:top w:val="none" w:sz="0" w:space="0" w:color="auto"/>
        <w:left w:val="none" w:sz="0" w:space="0" w:color="auto"/>
        <w:bottom w:val="none" w:sz="0" w:space="0" w:color="auto"/>
        <w:right w:val="none" w:sz="0" w:space="0" w:color="auto"/>
      </w:divBdr>
    </w:div>
    <w:div w:id="355931404">
      <w:bodyDiv w:val="1"/>
      <w:marLeft w:val="0"/>
      <w:marRight w:val="0"/>
      <w:marTop w:val="0"/>
      <w:marBottom w:val="0"/>
      <w:divBdr>
        <w:top w:val="none" w:sz="0" w:space="0" w:color="auto"/>
        <w:left w:val="none" w:sz="0" w:space="0" w:color="auto"/>
        <w:bottom w:val="none" w:sz="0" w:space="0" w:color="auto"/>
        <w:right w:val="none" w:sz="0" w:space="0" w:color="auto"/>
      </w:divBdr>
      <w:divsChild>
        <w:div w:id="1957445301">
          <w:marLeft w:val="0"/>
          <w:marRight w:val="75"/>
          <w:marTop w:val="0"/>
          <w:marBottom w:val="0"/>
          <w:divBdr>
            <w:top w:val="none" w:sz="0" w:space="0" w:color="auto"/>
            <w:left w:val="single" w:sz="6" w:space="2" w:color="DDDDDD"/>
            <w:bottom w:val="single" w:sz="6" w:space="2" w:color="DDDDDD"/>
            <w:right w:val="none" w:sz="0" w:space="0" w:color="auto"/>
          </w:divBdr>
          <w:divsChild>
            <w:div w:id="937057826">
              <w:marLeft w:val="0"/>
              <w:marRight w:val="0"/>
              <w:marTop w:val="0"/>
              <w:marBottom w:val="0"/>
              <w:divBdr>
                <w:top w:val="single" w:sz="6" w:space="8" w:color="A6B5C7"/>
                <w:left w:val="single" w:sz="6" w:space="8" w:color="A6B5C7"/>
                <w:bottom w:val="single" w:sz="6" w:space="8" w:color="A6B5C7"/>
                <w:right w:val="single" w:sz="6" w:space="8" w:color="A6B5C7"/>
              </w:divBdr>
              <w:divsChild>
                <w:div w:id="384959169">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363362262">
      <w:bodyDiv w:val="1"/>
      <w:marLeft w:val="0"/>
      <w:marRight w:val="0"/>
      <w:marTop w:val="0"/>
      <w:marBottom w:val="0"/>
      <w:divBdr>
        <w:top w:val="none" w:sz="0" w:space="0" w:color="auto"/>
        <w:left w:val="none" w:sz="0" w:space="0" w:color="auto"/>
        <w:bottom w:val="none" w:sz="0" w:space="0" w:color="auto"/>
        <w:right w:val="none" w:sz="0" w:space="0" w:color="auto"/>
      </w:divBdr>
    </w:div>
    <w:div w:id="467012410">
      <w:bodyDiv w:val="1"/>
      <w:marLeft w:val="0"/>
      <w:marRight w:val="0"/>
      <w:marTop w:val="0"/>
      <w:marBottom w:val="0"/>
      <w:divBdr>
        <w:top w:val="none" w:sz="0" w:space="0" w:color="auto"/>
        <w:left w:val="none" w:sz="0" w:space="0" w:color="auto"/>
        <w:bottom w:val="none" w:sz="0" w:space="0" w:color="auto"/>
        <w:right w:val="none" w:sz="0" w:space="0" w:color="auto"/>
      </w:divBdr>
    </w:div>
    <w:div w:id="490372733">
      <w:bodyDiv w:val="1"/>
      <w:marLeft w:val="0"/>
      <w:marRight w:val="0"/>
      <w:marTop w:val="0"/>
      <w:marBottom w:val="0"/>
      <w:divBdr>
        <w:top w:val="none" w:sz="0" w:space="0" w:color="auto"/>
        <w:left w:val="none" w:sz="0" w:space="0" w:color="auto"/>
        <w:bottom w:val="none" w:sz="0" w:space="0" w:color="auto"/>
        <w:right w:val="none" w:sz="0" w:space="0" w:color="auto"/>
      </w:divBdr>
      <w:divsChild>
        <w:div w:id="540943193">
          <w:marLeft w:val="0"/>
          <w:marRight w:val="0"/>
          <w:marTop w:val="0"/>
          <w:marBottom w:val="0"/>
          <w:divBdr>
            <w:top w:val="none" w:sz="0" w:space="0" w:color="auto"/>
            <w:left w:val="none" w:sz="0" w:space="0" w:color="auto"/>
            <w:bottom w:val="none" w:sz="0" w:space="0" w:color="auto"/>
            <w:right w:val="none" w:sz="0" w:space="0" w:color="auto"/>
          </w:divBdr>
          <w:divsChild>
            <w:div w:id="1010907941">
              <w:marLeft w:val="0"/>
              <w:marRight w:val="0"/>
              <w:marTop w:val="0"/>
              <w:marBottom w:val="0"/>
              <w:divBdr>
                <w:top w:val="none" w:sz="0" w:space="0" w:color="auto"/>
                <w:left w:val="none" w:sz="0" w:space="0" w:color="auto"/>
                <w:bottom w:val="none" w:sz="0" w:space="0" w:color="auto"/>
                <w:right w:val="none" w:sz="0" w:space="0" w:color="auto"/>
              </w:divBdr>
              <w:divsChild>
                <w:div w:id="212354148">
                  <w:marLeft w:val="0"/>
                  <w:marRight w:val="0"/>
                  <w:marTop w:val="150"/>
                  <w:marBottom w:val="0"/>
                  <w:divBdr>
                    <w:top w:val="none" w:sz="0" w:space="0" w:color="auto"/>
                    <w:left w:val="none" w:sz="0" w:space="0" w:color="auto"/>
                    <w:bottom w:val="none" w:sz="0" w:space="0" w:color="auto"/>
                    <w:right w:val="none" w:sz="0" w:space="0" w:color="auto"/>
                  </w:divBdr>
                  <w:divsChild>
                    <w:div w:id="387188416">
                      <w:marLeft w:val="0"/>
                      <w:marRight w:val="0"/>
                      <w:marTop w:val="0"/>
                      <w:marBottom w:val="0"/>
                      <w:divBdr>
                        <w:top w:val="none" w:sz="0" w:space="0" w:color="auto"/>
                        <w:left w:val="none" w:sz="0" w:space="0" w:color="auto"/>
                        <w:bottom w:val="none" w:sz="0" w:space="0" w:color="auto"/>
                        <w:right w:val="none" w:sz="0" w:space="0" w:color="auto"/>
                      </w:divBdr>
                      <w:divsChild>
                        <w:div w:id="1730883968">
                          <w:marLeft w:val="150"/>
                          <w:marRight w:val="150"/>
                          <w:marTop w:val="0"/>
                          <w:marBottom w:val="0"/>
                          <w:divBdr>
                            <w:top w:val="none" w:sz="0" w:space="0" w:color="auto"/>
                            <w:left w:val="none" w:sz="0" w:space="0" w:color="auto"/>
                            <w:bottom w:val="none" w:sz="0" w:space="0" w:color="auto"/>
                            <w:right w:val="none" w:sz="0" w:space="0" w:color="auto"/>
                          </w:divBdr>
                          <w:divsChild>
                            <w:div w:id="451291061">
                              <w:marLeft w:val="0"/>
                              <w:marRight w:val="0"/>
                              <w:marTop w:val="0"/>
                              <w:marBottom w:val="0"/>
                              <w:divBdr>
                                <w:top w:val="none" w:sz="0" w:space="0" w:color="auto"/>
                                <w:left w:val="none" w:sz="0" w:space="0" w:color="auto"/>
                                <w:bottom w:val="none" w:sz="0" w:space="0" w:color="auto"/>
                                <w:right w:val="none" w:sz="0" w:space="0" w:color="auto"/>
                              </w:divBdr>
                              <w:divsChild>
                                <w:div w:id="1038701144">
                                  <w:marLeft w:val="0"/>
                                  <w:marRight w:val="0"/>
                                  <w:marTop w:val="0"/>
                                  <w:marBottom w:val="450"/>
                                  <w:divBdr>
                                    <w:top w:val="none" w:sz="0" w:space="0" w:color="auto"/>
                                    <w:left w:val="none" w:sz="0" w:space="0" w:color="auto"/>
                                    <w:bottom w:val="none" w:sz="0" w:space="0" w:color="auto"/>
                                    <w:right w:val="none" w:sz="0" w:space="0" w:color="auto"/>
                                  </w:divBdr>
                                  <w:divsChild>
                                    <w:div w:id="1967618298">
                                      <w:marLeft w:val="0"/>
                                      <w:marRight w:val="0"/>
                                      <w:marTop w:val="0"/>
                                      <w:marBottom w:val="0"/>
                                      <w:divBdr>
                                        <w:top w:val="none" w:sz="0" w:space="0" w:color="auto"/>
                                        <w:left w:val="none" w:sz="0" w:space="0" w:color="auto"/>
                                        <w:bottom w:val="none" w:sz="0" w:space="0" w:color="auto"/>
                                        <w:right w:val="none" w:sz="0" w:space="0" w:color="auto"/>
                                      </w:divBdr>
                                      <w:divsChild>
                                        <w:div w:id="1347824289">
                                          <w:marLeft w:val="0"/>
                                          <w:marRight w:val="0"/>
                                          <w:marTop w:val="0"/>
                                          <w:marBottom w:val="0"/>
                                          <w:divBdr>
                                            <w:top w:val="none" w:sz="0" w:space="0" w:color="auto"/>
                                            <w:left w:val="none" w:sz="0" w:space="0" w:color="auto"/>
                                            <w:bottom w:val="none" w:sz="0" w:space="0" w:color="auto"/>
                                            <w:right w:val="none" w:sz="0" w:space="0" w:color="auto"/>
                                          </w:divBdr>
                                          <w:divsChild>
                                            <w:div w:id="1092706851">
                                              <w:marLeft w:val="0"/>
                                              <w:marRight w:val="0"/>
                                              <w:marTop w:val="0"/>
                                              <w:marBottom w:val="0"/>
                                              <w:divBdr>
                                                <w:top w:val="none" w:sz="0" w:space="0" w:color="auto"/>
                                                <w:left w:val="none" w:sz="0" w:space="0" w:color="auto"/>
                                                <w:bottom w:val="none" w:sz="0" w:space="0" w:color="auto"/>
                                                <w:right w:val="none" w:sz="0" w:space="0" w:color="auto"/>
                                              </w:divBdr>
                                              <w:divsChild>
                                                <w:div w:id="854883542">
                                                  <w:marLeft w:val="0"/>
                                                  <w:marRight w:val="0"/>
                                                  <w:marTop w:val="0"/>
                                                  <w:marBottom w:val="0"/>
                                                  <w:divBdr>
                                                    <w:top w:val="none" w:sz="0" w:space="0" w:color="auto"/>
                                                    <w:left w:val="none" w:sz="0" w:space="0" w:color="auto"/>
                                                    <w:bottom w:val="none" w:sz="0" w:space="0" w:color="auto"/>
                                                    <w:right w:val="none" w:sz="0" w:space="0" w:color="auto"/>
                                                  </w:divBdr>
                                                </w:div>
                                                <w:div w:id="1482456522">
                                                  <w:marLeft w:val="0"/>
                                                  <w:marRight w:val="0"/>
                                                  <w:marTop w:val="0"/>
                                                  <w:marBottom w:val="0"/>
                                                  <w:divBdr>
                                                    <w:top w:val="none" w:sz="0" w:space="0" w:color="auto"/>
                                                    <w:left w:val="none" w:sz="0" w:space="0" w:color="auto"/>
                                                    <w:bottom w:val="none" w:sz="0" w:space="0" w:color="auto"/>
                                                    <w:right w:val="none" w:sz="0" w:space="0" w:color="auto"/>
                                                  </w:divBdr>
                                                </w:div>
                                                <w:div w:id="1454640140">
                                                  <w:marLeft w:val="0"/>
                                                  <w:marRight w:val="0"/>
                                                  <w:marTop w:val="0"/>
                                                  <w:marBottom w:val="0"/>
                                                  <w:divBdr>
                                                    <w:top w:val="none" w:sz="0" w:space="0" w:color="auto"/>
                                                    <w:left w:val="none" w:sz="0" w:space="0" w:color="auto"/>
                                                    <w:bottom w:val="none" w:sz="0" w:space="0" w:color="auto"/>
                                                    <w:right w:val="none" w:sz="0" w:space="0" w:color="auto"/>
                                                  </w:divBdr>
                                                </w:div>
                                              </w:divsChild>
                                            </w:div>
                                            <w:div w:id="2095660044">
                                              <w:marLeft w:val="0"/>
                                              <w:marRight w:val="0"/>
                                              <w:marTop w:val="0"/>
                                              <w:marBottom w:val="0"/>
                                              <w:divBdr>
                                                <w:top w:val="none" w:sz="0" w:space="0" w:color="auto"/>
                                                <w:left w:val="none" w:sz="0" w:space="0" w:color="auto"/>
                                                <w:bottom w:val="none" w:sz="0" w:space="0" w:color="auto"/>
                                                <w:right w:val="none" w:sz="0" w:space="0" w:color="auto"/>
                                              </w:divBdr>
                                              <w:divsChild>
                                                <w:div w:id="2102798544">
                                                  <w:marLeft w:val="0"/>
                                                  <w:marRight w:val="0"/>
                                                  <w:marTop w:val="0"/>
                                                  <w:marBottom w:val="0"/>
                                                  <w:divBdr>
                                                    <w:top w:val="none" w:sz="0" w:space="0" w:color="auto"/>
                                                    <w:left w:val="none" w:sz="0" w:space="0" w:color="auto"/>
                                                    <w:bottom w:val="none" w:sz="0" w:space="0" w:color="auto"/>
                                                    <w:right w:val="none" w:sz="0" w:space="0" w:color="auto"/>
                                                  </w:divBdr>
                                                </w:div>
                                                <w:div w:id="1309213853">
                                                  <w:marLeft w:val="0"/>
                                                  <w:marRight w:val="0"/>
                                                  <w:marTop w:val="0"/>
                                                  <w:marBottom w:val="0"/>
                                                  <w:divBdr>
                                                    <w:top w:val="none" w:sz="0" w:space="0" w:color="auto"/>
                                                    <w:left w:val="none" w:sz="0" w:space="0" w:color="auto"/>
                                                    <w:bottom w:val="none" w:sz="0" w:space="0" w:color="auto"/>
                                                    <w:right w:val="none" w:sz="0" w:space="0" w:color="auto"/>
                                                  </w:divBdr>
                                                </w:div>
                                                <w:div w:id="330301787">
                                                  <w:marLeft w:val="0"/>
                                                  <w:marRight w:val="0"/>
                                                  <w:marTop w:val="0"/>
                                                  <w:marBottom w:val="0"/>
                                                  <w:divBdr>
                                                    <w:top w:val="none" w:sz="0" w:space="0" w:color="auto"/>
                                                    <w:left w:val="none" w:sz="0" w:space="0" w:color="auto"/>
                                                    <w:bottom w:val="none" w:sz="0" w:space="0" w:color="auto"/>
                                                    <w:right w:val="none" w:sz="0" w:space="0" w:color="auto"/>
                                                  </w:divBdr>
                                                </w:div>
                                              </w:divsChild>
                                            </w:div>
                                            <w:div w:id="151260973">
                                              <w:marLeft w:val="0"/>
                                              <w:marRight w:val="0"/>
                                              <w:marTop w:val="0"/>
                                              <w:marBottom w:val="0"/>
                                              <w:divBdr>
                                                <w:top w:val="none" w:sz="0" w:space="0" w:color="auto"/>
                                                <w:left w:val="none" w:sz="0" w:space="0" w:color="auto"/>
                                                <w:bottom w:val="none" w:sz="0" w:space="0" w:color="auto"/>
                                                <w:right w:val="none" w:sz="0" w:space="0" w:color="auto"/>
                                              </w:divBdr>
                                              <w:divsChild>
                                                <w:div w:id="529488066">
                                                  <w:marLeft w:val="0"/>
                                                  <w:marRight w:val="0"/>
                                                  <w:marTop w:val="0"/>
                                                  <w:marBottom w:val="0"/>
                                                  <w:divBdr>
                                                    <w:top w:val="none" w:sz="0" w:space="0" w:color="auto"/>
                                                    <w:left w:val="none" w:sz="0" w:space="0" w:color="auto"/>
                                                    <w:bottom w:val="none" w:sz="0" w:space="0" w:color="auto"/>
                                                    <w:right w:val="none" w:sz="0" w:space="0" w:color="auto"/>
                                                  </w:divBdr>
                                                </w:div>
                                                <w:div w:id="1066221452">
                                                  <w:marLeft w:val="0"/>
                                                  <w:marRight w:val="0"/>
                                                  <w:marTop w:val="0"/>
                                                  <w:marBottom w:val="0"/>
                                                  <w:divBdr>
                                                    <w:top w:val="none" w:sz="0" w:space="0" w:color="auto"/>
                                                    <w:left w:val="none" w:sz="0" w:space="0" w:color="auto"/>
                                                    <w:bottom w:val="none" w:sz="0" w:space="0" w:color="auto"/>
                                                    <w:right w:val="none" w:sz="0" w:space="0" w:color="auto"/>
                                                  </w:divBdr>
                                                </w:div>
                                                <w:div w:id="18386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215705">
      <w:bodyDiv w:val="1"/>
      <w:marLeft w:val="0"/>
      <w:marRight w:val="0"/>
      <w:marTop w:val="0"/>
      <w:marBottom w:val="0"/>
      <w:divBdr>
        <w:top w:val="none" w:sz="0" w:space="0" w:color="auto"/>
        <w:left w:val="none" w:sz="0" w:space="0" w:color="auto"/>
        <w:bottom w:val="none" w:sz="0" w:space="0" w:color="auto"/>
        <w:right w:val="none" w:sz="0" w:space="0" w:color="auto"/>
      </w:divBdr>
    </w:div>
    <w:div w:id="715012029">
      <w:bodyDiv w:val="1"/>
      <w:marLeft w:val="0"/>
      <w:marRight w:val="0"/>
      <w:marTop w:val="0"/>
      <w:marBottom w:val="0"/>
      <w:divBdr>
        <w:top w:val="none" w:sz="0" w:space="0" w:color="auto"/>
        <w:left w:val="none" w:sz="0" w:space="0" w:color="auto"/>
        <w:bottom w:val="none" w:sz="0" w:space="0" w:color="auto"/>
        <w:right w:val="none" w:sz="0" w:space="0" w:color="auto"/>
      </w:divBdr>
    </w:div>
    <w:div w:id="734742569">
      <w:bodyDiv w:val="1"/>
      <w:marLeft w:val="0"/>
      <w:marRight w:val="0"/>
      <w:marTop w:val="0"/>
      <w:marBottom w:val="0"/>
      <w:divBdr>
        <w:top w:val="none" w:sz="0" w:space="0" w:color="auto"/>
        <w:left w:val="none" w:sz="0" w:space="0" w:color="auto"/>
        <w:bottom w:val="none" w:sz="0" w:space="0" w:color="auto"/>
        <w:right w:val="none" w:sz="0" w:space="0" w:color="auto"/>
      </w:divBdr>
    </w:div>
    <w:div w:id="818227887">
      <w:bodyDiv w:val="1"/>
      <w:marLeft w:val="0"/>
      <w:marRight w:val="0"/>
      <w:marTop w:val="0"/>
      <w:marBottom w:val="0"/>
      <w:divBdr>
        <w:top w:val="none" w:sz="0" w:space="0" w:color="auto"/>
        <w:left w:val="none" w:sz="0" w:space="0" w:color="auto"/>
        <w:bottom w:val="none" w:sz="0" w:space="0" w:color="auto"/>
        <w:right w:val="none" w:sz="0" w:space="0" w:color="auto"/>
      </w:divBdr>
    </w:div>
    <w:div w:id="852839049">
      <w:bodyDiv w:val="1"/>
      <w:marLeft w:val="0"/>
      <w:marRight w:val="0"/>
      <w:marTop w:val="0"/>
      <w:marBottom w:val="0"/>
      <w:divBdr>
        <w:top w:val="none" w:sz="0" w:space="0" w:color="auto"/>
        <w:left w:val="none" w:sz="0" w:space="0" w:color="auto"/>
        <w:bottom w:val="none" w:sz="0" w:space="0" w:color="auto"/>
        <w:right w:val="none" w:sz="0" w:space="0" w:color="auto"/>
      </w:divBdr>
      <w:divsChild>
        <w:div w:id="45419912">
          <w:marLeft w:val="0"/>
          <w:marRight w:val="0"/>
          <w:marTop w:val="0"/>
          <w:marBottom w:val="0"/>
          <w:divBdr>
            <w:top w:val="none" w:sz="0" w:space="0" w:color="auto"/>
            <w:left w:val="none" w:sz="0" w:space="0" w:color="auto"/>
            <w:bottom w:val="none" w:sz="0" w:space="0" w:color="auto"/>
            <w:right w:val="none" w:sz="0" w:space="0" w:color="auto"/>
          </w:divBdr>
          <w:divsChild>
            <w:div w:id="692265166">
              <w:marLeft w:val="0"/>
              <w:marRight w:val="0"/>
              <w:marTop w:val="0"/>
              <w:marBottom w:val="0"/>
              <w:divBdr>
                <w:top w:val="none" w:sz="0" w:space="0" w:color="auto"/>
                <w:left w:val="none" w:sz="0" w:space="0" w:color="auto"/>
                <w:bottom w:val="none" w:sz="0" w:space="0" w:color="auto"/>
                <w:right w:val="none" w:sz="0" w:space="0" w:color="auto"/>
              </w:divBdr>
              <w:divsChild>
                <w:div w:id="413476474">
                  <w:marLeft w:val="0"/>
                  <w:marRight w:val="0"/>
                  <w:marTop w:val="0"/>
                  <w:marBottom w:val="0"/>
                  <w:divBdr>
                    <w:top w:val="none" w:sz="0" w:space="0" w:color="auto"/>
                    <w:left w:val="none" w:sz="0" w:space="0" w:color="auto"/>
                    <w:bottom w:val="none" w:sz="0" w:space="0" w:color="auto"/>
                    <w:right w:val="none" w:sz="0" w:space="0" w:color="auto"/>
                  </w:divBdr>
                  <w:divsChild>
                    <w:div w:id="93479697">
                      <w:marLeft w:val="0"/>
                      <w:marRight w:val="0"/>
                      <w:marTop w:val="0"/>
                      <w:marBottom w:val="0"/>
                      <w:divBdr>
                        <w:top w:val="none" w:sz="0" w:space="0" w:color="auto"/>
                        <w:left w:val="none" w:sz="0" w:space="0" w:color="auto"/>
                        <w:bottom w:val="none" w:sz="0" w:space="0" w:color="auto"/>
                        <w:right w:val="none" w:sz="0" w:space="0" w:color="auto"/>
                      </w:divBdr>
                      <w:divsChild>
                        <w:div w:id="1207329225">
                          <w:marLeft w:val="0"/>
                          <w:marRight w:val="0"/>
                          <w:marTop w:val="0"/>
                          <w:marBottom w:val="0"/>
                          <w:divBdr>
                            <w:top w:val="none" w:sz="0" w:space="0" w:color="auto"/>
                            <w:left w:val="none" w:sz="0" w:space="0" w:color="auto"/>
                            <w:bottom w:val="none" w:sz="0" w:space="0" w:color="auto"/>
                            <w:right w:val="none" w:sz="0" w:space="0" w:color="auto"/>
                          </w:divBdr>
                          <w:divsChild>
                            <w:div w:id="1002077858">
                              <w:marLeft w:val="0"/>
                              <w:marRight w:val="0"/>
                              <w:marTop w:val="0"/>
                              <w:marBottom w:val="0"/>
                              <w:divBdr>
                                <w:top w:val="none" w:sz="0" w:space="0" w:color="auto"/>
                                <w:left w:val="none" w:sz="0" w:space="0" w:color="auto"/>
                                <w:bottom w:val="none" w:sz="0" w:space="0" w:color="auto"/>
                                <w:right w:val="none" w:sz="0" w:space="0" w:color="auto"/>
                              </w:divBdr>
                              <w:divsChild>
                                <w:div w:id="181937383">
                                  <w:marLeft w:val="0"/>
                                  <w:marRight w:val="0"/>
                                  <w:marTop w:val="0"/>
                                  <w:marBottom w:val="0"/>
                                  <w:divBdr>
                                    <w:top w:val="none" w:sz="0" w:space="0" w:color="auto"/>
                                    <w:left w:val="none" w:sz="0" w:space="0" w:color="auto"/>
                                    <w:bottom w:val="none" w:sz="0" w:space="0" w:color="auto"/>
                                    <w:right w:val="none" w:sz="0" w:space="0" w:color="auto"/>
                                  </w:divBdr>
                                  <w:divsChild>
                                    <w:div w:id="1617591278">
                                      <w:marLeft w:val="0"/>
                                      <w:marRight w:val="0"/>
                                      <w:marTop w:val="0"/>
                                      <w:marBottom w:val="0"/>
                                      <w:divBdr>
                                        <w:top w:val="none" w:sz="0" w:space="0" w:color="auto"/>
                                        <w:left w:val="none" w:sz="0" w:space="0" w:color="auto"/>
                                        <w:bottom w:val="none" w:sz="0" w:space="0" w:color="auto"/>
                                        <w:right w:val="none" w:sz="0" w:space="0" w:color="auto"/>
                                      </w:divBdr>
                                      <w:divsChild>
                                        <w:div w:id="1859616382">
                                          <w:marLeft w:val="0"/>
                                          <w:marRight w:val="0"/>
                                          <w:marTop w:val="0"/>
                                          <w:marBottom w:val="0"/>
                                          <w:divBdr>
                                            <w:top w:val="none" w:sz="0" w:space="0" w:color="auto"/>
                                            <w:left w:val="none" w:sz="0" w:space="0" w:color="auto"/>
                                            <w:bottom w:val="none" w:sz="0" w:space="0" w:color="auto"/>
                                            <w:right w:val="none" w:sz="0" w:space="0" w:color="auto"/>
                                          </w:divBdr>
                                          <w:divsChild>
                                            <w:div w:id="734015557">
                                              <w:marLeft w:val="0"/>
                                              <w:marRight w:val="0"/>
                                              <w:marTop w:val="0"/>
                                              <w:marBottom w:val="0"/>
                                              <w:divBdr>
                                                <w:top w:val="none" w:sz="0" w:space="0" w:color="auto"/>
                                                <w:left w:val="none" w:sz="0" w:space="0" w:color="auto"/>
                                                <w:bottom w:val="none" w:sz="0" w:space="0" w:color="auto"/>
                                                <w:right w:val="none" w:sz="0" w:space="0" w:color="auto"/>
                                              </w:divBdr>
                                              <w:divsChild>
                                                <w:div w:id="124929841">
                                                  <w:marLeft w:val="0"/>
                                                  <w:marRight w:val="0"/>
                                                  <w:marTop w:val="0"/>
                                                  <w:marBottom w:val="0"/>
                                                  <w:divBdr>
                                                    <w:top w:val="none" w:sz="0" w:space="0" w:color="auto"/>
                                                    <w:left w:val="none" w:sz="0" w:space="0" w:color="auto"/>
                                                    <w:bottom w:val="none" w:sz="0" w:space="0" w:color="auto"/>
                                                    <w:right w:val="none" w:sz="0" w:space="0" w:color="auto"/>
                                                  </w:divBdr>
                                                </w:div>
                                                <w:div w:id="1103650965">
                                                  <w:marLeft w:val="0"/>
                                                  <w:marRight w:val="0"/>
                                                  <w:marTop w:val="0"/>
                                                  <w:marBottom w:val="0"/>
                                                  <w:divBdr>
                                                    <w:top w:val="none" w:sz="0" w:space="0" w:color="auto"/>
                                                    <w:left w:val="none" w:sz="0" w:space="0" w:color="auto"/>
                                                    <w:bottom w:val="none" w:sz="0" w:space="0" w:color="auto"/>
                                                    <w:right w:val="none" w:sz="0" w:space="0" w:color="auto"/>
                                                  </w:divBdr>
                                                </w:div>
                                                <w:div w:id="13172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342322">
      <w:bodyDiv w:val="1"/>
      <w:marLeft w:val="0"/>
      <w:marRight w:val="0"/>
      <w:marTop w:val="0"/>
      <w:marBottom w:val="0"/>
      <w:divBdr>
        <w:top w:val="none" w:sz="0" w:space="0" w:color="auto"/>
        <w:left w:val="none" w:sz="0" w:space="0" w:color="auto"/>
        <w:bottom w:val="none" w:sz="0" w:space="0" w:color="auto"/>
        <w:right w:val="none" w:sz="0" w:space="0" w:color="auto"/>
      </w:divBdr>
    </w:div>
    <w:div w:id="941646722">
      <w:bodyDiv w:val="1"/>
      <w:marLeft w:val="0"/>
      <w:marRight w:val="0"/>
      <w:marTop w:val="0"/>
      <w:marBottom w:val="0"/>
      <w:divBdr>
        <w:top w:val="none" w:sz="0" w:space="0" w:color="auto"/>
        <w:left w:val="none" w:sz="0" w:space="0" w:color="auto"/>
        <w:bottom w:val="none" w:sz="0" w:space="0" w:color="auto"/>
        <w:right w:val="none" w:sz="0" w:space="0" w:color="auto"/>
      </w:divBdr>
    </w:div>
    <w:div w:id="1194000612">
      <w:bodyDiv w:val="1"/>
      <w:marLeft w:val="0"/>
      <w:marRight w:val="0"/>
      <w:marTop w:val="0"/>
      <w:marBottom w:val="0"/>
      <w:divBdr>
        <w:top w:val="none" w:sz="0" w:space="0" w:color="auto"/>
        <w:left w:val="none" w:sz="0" w:space="0" w:color="auto"/>
        <w:bottom w:val="none" w:sz="0" w:space="0" w:color="auto"/>
        <w:right w:val="none" w:sz="0" w:space="0" w:color="auto"/>
      </w:divBdr>
    </w:div>
    <w:div w:id="1214583473">
      <w:bodyDiv w:val="1"/>
      <w:marLeft w:val="0"/>
      <w:marRight w:val="0"/>
      <w:marTop w:val="0"/>
      <w:marBottom w:val="0"/>
      <w:divBdr>
        <w:top w:val="none" w:sz="0" w:space="0" w:color="auto"/>
        <w:left w:val="none" w:sz="0" w:space="0" w:color="auto"/>
        <w:bottom w:val="none" w:sz="0" w:space="0" w:color="auto"/>
        <w:right w:val="none" w:sz="0" w:space="0" w:color="auto"/>
      </w:divBdr>
      <w:divsChild>
        <w:div w:id="134372490">
          <w:marLeft w:val="0"/>
          <w:marRight w:val="0"/>
          <w:marTop w:val="0"/>
          <w:marBottom w:val="0"/>
          <w:divBdr>
            <w:top w:val="none" w:sz="0" w:space="0" w:color="auto"/>
            <w:left w:val="none" w:sz="0" w:space="0" w:color="auto"/>
            <w:bottom w:val="none" w:sz="0" w:space="0" w:color="auto"/>
            <w:right w:val="none" w:sz="0" w:space="0" w:color="auto"/>
          </w:divBdr>
          <w:divsChild>
            <w:div w:id="1475370304">
              <w:marLeft w:val="0"/>
              <w:marRight w:val="0"/>
              <w:marTop w:val="0"/>
              <w:marBottom w:val="0"/>
              <w:divBdr>
                <w:top w:val="none" w:sz="0" w:space="0" w:color="auto"/>
                <w:left w:val="none" w:sz="0" w:space="0" w:color="auto"/>
                <w:bottom w:val="none" w:sz="0" w:space="0" w:color="auto"/>
                <w:right w:val="none" w:sz="0" w:space="0" w:color="auto"/>
              </w:divBdr>
              <w:divsChild>
                <w:div w:id="2051569331">
                  <w:marLeft w:val="0"/>
                  <w:marRight w:val="0"/>
                  <w:marTop w:val="0"/>
                  <w:marBottom w:val="0"/>
                  <w:divBdr>
                    <w:top w:val="none" w:sz="0" w:space="0" w:color="auto"/>
                    <w:left w:val="none" w:sz="0" w:space="0" w:color="auto"/>
                    <w:bottom w:val="none" w:sz="0" w:space="0" w:color="auto"/>
                    <w:right w:val="none" w:sz="0" w:space="0" w:color="auto"/>
                  </w:divBdr>
                  <w:divsChild>
                    <w:div w:id="632057630">
                      <w:marLeft w:val="0"/>
                      <w:marRight w:val="0"/>
                      <w:marTop w:val="0"/>
                      <w:marBottom w:val="0"/>
                      <w:divBdr>
                        <w:top w:val="none" w:sz="0" w:space="0" w:color="auto"/>
                        <w:left w:val="none" w:sz="0" w:space="0" w:color="auto"/>
                        <w:bottom w:val="none" w:sz="0" w:space="0" w:color="auto"/>
                        <w:right w:val="none" w:sz="0" w:space="0" w:color="auto"/>
                      </w:divBdr>
                      <w:divsChild>
                        <w:div w:id="583075544">
                          <w:marLeft w:val="0"/>
                          <w:marRight w:val="0"/>
                          <w:marTop w:val="0"/>
                          <w:marBottom w:val="0"/>
                          <w:divBdr>
                            <w:top w:val="none" w:sz="0" w:space="0" w:color="auto"/>
                            <w:left w:val="none" w:sz="0" w:space="0" w:color="auto"/>
                            <w:bottom w:val="none" w:sz="0" w:space="0" w:color="auto"/>
                            <w:right w:val="none" w:sz="0" w:space="0" w:color="auto"/>
                          </w:divBdr>
                          <w:divsChild>
                            <w:div w:id="509639780">
                              <w:marLeft w:val="0"/>
                              <w:marRight w:val="0"/>
                              <w:marTop w:val="0"/>
                              <w:marBottom w:val="0"/>
                              <w:divBdr>
                                <w:top w:val="none" w:sz="0" w:space="0" w:color="auto"/>
                                <w:left w:val="none" w:sz="0" w:space="0" w:color="auto"/>
                                <w:bottom w:val="none" w:sz="0" w:space="0" w:color="auto"/>
                                <w:right w:val="none" w:sz="0" w:space="0" w:color="auto"/>
                              </w:divBdr>
                              <w:divsChild>
                                <w:div w:id="463543902">
                                  <w:marLeft w:val="0"/>
                                  <w:marRight w:val="0"/>
                                  <w:marTop w:val="0"/>
                                  <w:marBottom w:val="0"/>
                                  <w:divBdr>
                                    <w:top w:val="none" w:sz="0" w:space="0" w:color="auto"/>
                                    <w:left w:val="none" w:sz="0" w:space="0" w:color="auto"/>
                                    <w:bottom w:val="none" w:sz="0" w:space="0" w:color="auto"/>
                                    <w:right w:val="none" w:sz="0" w:space="0" w:color="auto"/>
                                  </w:divBdr>
                                  <w:divsChild>
                                    <w:div w:id="1964995413">
                                      <w:marLeft w:val="0"/>
                                      <w:marRight w:val="0"/>
                                      <w:marTop w:val="0"/>
                                      <w:marBottom w:val="0"/>
                                      <w:divBdr>
                                        <w:top w:val="none" w:sz="0" w:space="0" w:color="auto"/>
                                        <w:left w:val="none" w:sz="0" w:space="0" w:color="auto"/>
                                        <w:bottom w:val="none" w:sz="0" w:space="0" w:color="auto"/>
                                        <w:right w:val="none" w:sz="0" w:space="0" w:color="auto"/>
                                      </w:divBdr>
                                      <w:divsChild>
                                        <w:div w:id="448817679">
                                          <w:marLeft w:val="0"/>
                                          <w:marRight w:val="0"/>
                                          <w:marTop w:val="0"/>
                                          <w:marBottom w:val="0"/>
                                          <w:divBdr>
                                            <w:top w:val="none" w:sz="0" w:space="0" w:color="auto"/>
                                            <w:left w:val="none" w:sz="0" w:space="0" w:color="auto"/>
                                            <w:bottom w:val="none" w:sz="0" w:space="0" w:color="auto"/>
                                            <w:right w:val="none" w:sz="0" w:space="0" w:color="auto"/>
                                          </w:divBdr>
                                          <w:divsChild>
                                            <w:div w:id="46730602">
                                              <w:marLeft w:val="0"/>
                                              <w:marRight w:val="0"/>
                                              <w:marTop w:val="0"/>
                                              <w:marBottom w:val="0"/>
                                              <w:divBdr>
                                                <w:top w:val="single" w:sz="12" w:space="2" w:color="FFFFCC"/>
                                                <w:left w:val="single" w:sz="12" w:space="2" w:color="FFFFCC"/>
                                                <w:bottom w:val="single" w:sz="12" w:space="2" w:color="FFFFCC"/>
                                                <w:right w:val="single" w:sz="12" w:space="0" w:color="FFFFCC"/>
                                              </w:divBdr>
                                              <w:divsChild>
                                                <w:div w:id="781614783">
                                                  <w:marLeft w:val="0"/>
                                                  <w:marRight w:val="0"/>
                                                  <w:marTop w:val="0"/>
                                                  <w:marBottom w:val="0"/>
                                                  <w:divBdr>
                                                    <w:top w:val="none" w:sz="0" w:space="0" w:color="auto"/>
                                                    <w:left w:val="none" w:sz="0" w:space="0" w:color="auto"/>
                                                    <w:bottom w:val="none" w:sz="0" w:space="0" w:color="auto"/>
                                                    <w:right w:val="none" w:sz="0" w:space="0" w:color="auto"/>
                                                  </w:divBdr>
                                                  <w:divsChild>
                                                    <w:div w:id="749041310">
                                                      <w:marLeft w:val="0"/>
                                                      <w:marRight w:val="0"/>
                                                      <w:marTop w:val="0"/>
                                                      <w:marBottom w:val="0"/>
                                                      <w:divBdr>
                                                        <w:top w:val="none" w:sz="0" w:space="0" w:color="auto"/>
                                                        <w:left w:val="none" w:sz="0" w:space="0" w:color="auto"/>
                                                        <w:bottom w:val="none" w:sz="0" w:space="0" w:color="auto"/>
                                                        <w:right w:val="none" w:sz="0" w:space="0" w:color="auto"/>
                                                      </w:divBdr>
                                                      <w:divsChild>
                                                        <w:div w:id="1142112205">
                                                          <w:marLeft w:val="0"/>
                                                          <w:marRight w:val="0"/>
                                                          <w:marTop w:val="0"/>
                                                          <w:marBottom w:val="0"/>
                                                          <w:divBdr>
                                                            <w:top w:val="none" w:sz="0" w:space="0" w:color="auto"/>
                                                            <w:left w:val="none" w:sz="0" w:space="0" w:color="auto"/>
                                                            <w:bottom w:val="none" w:sz="0" w:space="0" w:color="auto"/>
                                                            <w:right w:val="none" w:sz="0" w:space="0" w:color="auto"/>
                                                          </w:divBdr>
                                                          <w:divsChild>
                                                            <w:div w:id="65348882">
                                                              <w:marLeft w:val="0"/>
                                                              <w:marRight w:val="0"/>
                                                              <w:marTop w:val="0"/>
                                                              <w:marBottom w:val="0"/>
                                                              <w:divBdr>
                                                                <w:top w:val="none" w:sz="0" w:space="0" w:color="auto"/>
                                                                <w:left w:val="none" w:sz="0" w:space="0" w:color="auto"/>
                                                                <w:bottom w:val="none" w:sz="0" w:space="0" w:color="auto"/>
                                                                <w:right w:val="none" w:sz="0" w:space="0" w:color="auto"/>
                                                              </w:divBdr>
                                                              <w:divsChild>
                                                                <w:div w:id="418910156">
                                                                  <w:marLeft w:val="0"/>
                                                                  <w:marRight w:val="0"/>
                                                                  <w:marTop w:val="0"/>
                                                                  <w:marBottom w:val="0"/>
                                                                  <w:divBdr>
                                                                    <w:top w:val="none" w:sz="0" w:space="0" w:color="auto"/>
                                                                    <w:left w:val="none" w:sz="0" w:space="0" w:color="auto"/>
                                                                    <w:bottom w:val="none" w:sz="0" w:space="0" w:color="auto"/>
                                                                    <w:right w:val="none" w:sz="0" w:space="0" w:color="auto"/>
                                                                  </w:divBdr>
                                                                  <w:divsChild>
                                                                    <w:div w:id="840854554">
                                                                      <w:marLeft w:val="0"/>
                                                                      <w:marRight w:val="0"/>
                                                                      <w:marTop w:val="0"/>
                                                                      <w:marBottom w:val="0"/>
                                                                      <w:divBdr>
                                                                        <w:top w:val="none" w:sz="0" w:space="0" w:color="auto"/>
                                                                        <w:left w:val="none" w:sz="0" w:space="0" w:color="auto"/>
                                                                        <w:bottom w:val="none" w:sz="0" w:space="0" w:color="auto"/>
                                                                        <w:right w:val="none" w:sz="0" w:space="0" w:color="auto"/>
                                                                      </w:divBdr>
                                                                      <w:divsChild>
                                                                        <w:div w:id="327902860">
                                                                          <w:marLeft w:val="0"/>
                                                                          <w:marRight w:val="0"/>
                                                                          <w:marTop w:val="0"/>
                                                                          <w:marBottom w:val="0"/>
                                                                          <w:divBdr>
                                                                            <w:top w:val="none" w:sz="0" w:space="0" w:color="auto"/>
                                                                            <w:left w:val="none" w:sz="0" w:space="0" w:color="auto"/>
                                                                            <w:bottom w:val="none" w:sz="0" w:space="0" w:color="auto"/>
                                                                            <w:right w:val="none" w:sz="0" w:space="0" w:color="auto"/>
                                                                          </w:divBdr>
                                                                          <w:divsChild>
                                                                            <w:div w:id="193005706">
                                                                              <w:marLeft w:val="0"/>
                                                                              <w:marRight w:val="0"/>
                                                                              <w:marTop w:val="0"/>
                                                                              <w:marBottom w:val="0"/>
                                                                              <w:divBdr>
                                                                                <w:top w:val="none" w:sz="0" w:space="0" w:color="auto"/>
                                                                                <w:left w:val="none" w:sz="0" w:space="0" w:color="auto"/>
                                                                                <w:bottom w:val="none" w:sz="0" w:space="0" w:color="auto"/>
                                                                                <w:right w:val="none" w:sz="0" w:space="0" w:color="auto"/>
                                                                              </w:divBdr>
                                                                              <w:divsChild>
                                                                                <w:div w:id="1288773751">
                                                                                  <w:marLeft w:val="0"/>
                                                                                  <w:marRight w:val="0"/>
                                                                                  <w:marTop w:val="0"/>
                                                                                  <w:marBottom w:val="0"/>
                                                                                  <w:divBdr>
                                                                                    <w:top w:val="none" w:sz="0" w:space="0" w:color="auto"/>
                                                                                    <w:left w:val="none" w:sz="0" w:space="0" w:color="auto"/>
                                                                                    <w:bottom w:val="none" w:sz="0" w:space="0" w:color="auto"/>
                                                                                    <w:right w:val="none" w:sz="0" w:space="0" w:color="auto"/>
                                                                                  </w:divBdr>
                                                                                  <w:divsChild>
                                                                                    <w:div w:id="1079138118">
                                                                                      <w:marLeft w:val="0"/>
                                                                                      <w:marRight w:val="0"/>
                                                                                      <w:marTop w:val="0"/>
                                                                                      <w:marBottom w:val="0"/>
                                                                                      <w:divBdr>
                                                                                        <w:top w:val="none" w:sz="0" w:space="0" w:color="auto"/>
                                                                                        <w:left w:val="none" w:sz="0" w:space="0" w:color="auto"/>
                                                                                        <w:bottom w:val="none" w:sz="0" w:space="0" w:color="auto"/>
                                                                                        <w:right w:val="none" w:sz="0" w:space="0" w:color="auto"/>
                                                                                      </w:divBdr>
                                                                                      <w:divsChild>
                                                                                        <w:div w:id="102826041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7853281">
                                                                                              <w:marLeft w:val="0"/>
                                                                                              <w:marRight w:val="0"/>
                                                                                              <w:marTop w:val="0"/>
                                                                                              <w:marBottom w:val="0"/>
                                                                                              <w:divBdr>
                                                                                                <w:top w:val="none" w:sz="0" w:space="0" w:color="auto"/>
                                                                                                <w:left w:val="none" w:sz="0" w:space="0" w:color="auto"/>
                                                                                                <w:bottom w:val="none" w:sz="0" w:space="0" w:color="auto"/>
                                                                                                <w:right w:val="none" w:sz="0" w:space="0" w:color="auto"/>
                                                                                              </w:divBdr>
                                                                                              <w:divsChild>
                                                                                                <w:div w:id="1572275270">
                                                                                                  <w:marLeft w:val="0"/>
                                                                                                  <w:marRight w:val="0"/>
                                                                                                  <w:marTop w:val="0"/>
                                                                                                  <w:marBottom w:val="0"/>
                                                                                                  <w:divBdr>
                                                                                                    <w:top w:val="none" w:sz="0" w:space="0" w:color="auto"/>
                                                                                                    <w:left w:val="none" w:sz="0" w:space="0" w:color="auto"/>
                                                                                                    <w:bottom w:val="none" w:sz="0" w:space="0" w:color="auto"/>
                                                                                                    <w:right w:val="none" w:sz="0" w:space="0" w:color="auto"/>
                                                                                                  </w:divBdr>
                                                                                                  <w:divsChild>
                                                                                                    <w:div w:id="1823427782">
                                                                                                      <w:marLeft w:val="0"/>
                                                                                                      <w:marRight w:val="0"/>
                                                                                                      <w:marTop w:val="0"/>
                                                                                                      <w:marBottom w:val="0"/>
                                                                                                      <w:divBdr>
                                                                                                        <w:top w:val="none" w:sz="0" w:space="0" w:color="auto"/>
                                                                                                        <w:left w:val="none" w:sz="0" w:space="0" w:color="auto"/>
                                                                                                        <w:bottom w:val="none" w:sz="0" w:space="0" w:color="auto"/>
                                                                                                        <w:right w:val="none" w:sz="0" w:space="0" w:color="auto"/>
                                                                                                      </w:divBdr>
                                                                                                      <w:divsChild>
                                                                                                        <w:div w:id="1841311073">
                                                                                                          <w:marLeft w:val="0"/>
                                                                                                          <w:marRight w:val="0"/>
                                                                                                          <w:marTop w:val="0"/>
                                                                                                          <w:marBottom w:val="0"/>
                                                                                                          <w:divBdr>
                                                                                                            <w:top w:val="none" w:sz="0" w:space="0" w:color="auto"/>
                                                                                                            <w:left w:val="none" w:sz="0" w:space="0" w:color="auto"/>
                                                                                                            <w:bottom w:val="none" w:sz="0" w:space="0" w:color="auto"/>
                                                                                                            <w:right w:val="none" w:sz="0" w:space="0" w:color="auto"/>
                                                                                                          </w:divBdr>
                                                                                                          <w:divsChild>
                                                                                                            <w:div w:id="887179402">
                                                                                                              <w:marLeft w:val="0"/>
                                                                                                              <w:marRight w:val="0"/>
                                                                                                              <w:marTop w:val="0"/>
                                                                                                              <w:marBottom w:val="0"/>
                                                                                                              <w:divBdr>
                                                                                                                <w:top w:val="none" w:sz="0" w:space="0" w:color="auto"/>
                                                                                                                <w:left w:val="none" w:sz="0" w:space="0" w:color="auto"/>
                                                                                                                <w:bottom w:val="none" w:sz="0" w:space="0" w:color="auto"/>
                                                                                                                <w:right w:val="none" w:sz="0" w:space="0" w:color="auto"/>
                                                                                                              </w:divBdr>
                                                                                                              <w:divsChild>
                                                                                                                <w:div w:id="1076902580">
                                                                                                                  <w:marLeft w:val="0"/>
                                                                                                                  <w:marRight w:val="0"/>
                                                                                                                  <w:marTop w:val="0"/>
                                                                                                                  <w:marBottom w:val="0"/>
                                                                                                                  <w:divBdr>
                                                                                                                    <w:top w:val="single" w:sz="2" w:space="4" w:color="D8D8D8"/>
                                                                                                                    <w:left w:val="single" w:sz="2" w:space="0" w:color="D8D8D8"/>
                                                                                                                    <w:bottom w:val="single" w:sz="2" w:space="4" w:color="D8D8D8"/>
                                                                                                                    <w:right w:val="single" w:sz="2" w:space="0" w:color="D8D8D8"/>
                                                                                                                  </w:divBdr>
                                                                                                                  <w:divsChild>
                                                                                                                    <w:div w:id="1651399968">
                                                                                                                      <w:marLeft w:val="225"/>
                                                                                                                      <w:marRight w:val="225"/>
                                                                                                                      <w:marTop w:val="75"/>
                                                                                                                      <w:marBottom w:val="75"/>
                                                                                                                      <w:divBdr>
                                                                                                                        <w:top w:val="none" w:sz="0" w:space="0" w:color="auto"/>
                                                                                                                        <w:left w:val="none" w:sz="0" w:space="0" w:color="auto"/>
                                                                                                                        <w:bottom w:val="none" w:sz="0" w:space="0" w:color="auto"/>
                                                                                                                        <w:right w:val="none" w:sz="0" w:space="0" w:color="auto"/>
                                                                                                                      </w:divBdr>
                                                                                                                      <w:divsChild>
                                                                                                                        <w:div w:id="42102918">
                                                                                                                          <w:marLeft w:val="0"/>
                                                                                                                          <w:marRight w:val="0"/>
                                                                                                                          <w:marTop w:val="0"/>
                                                                                                                          <w:marBottom w:val="0"/>
                                                                                                                          <w:divBdr>
                                                                                                                            <w:top w:val="single" w:sz="6" w:space="0" w:color="auto"/>
                                                                                                                            <w:left w:val="single" w:sz="6" w:space="0" w:color="auto"/>
                                                                                                                            <w:bottom w:val="single" w:sz="6" w:space="0" w:color="auto"/>
                                                                                                                            <w:right w:val="single" w:sz="6" w:space="0" w:color="auto"/>
                                                                                                                          </w:divBdr>
                                                                                                                          <w:divsChild>
                                                                                                                            <w:div w:id="306858106">
                                                                                                                              <w:marLeft w:val="0"/>
                                                                                                                              <w:marRight w:val="0"/>
                                                                                                                              <w:marTop w:val="0"/>
                                                                                                                              <w:marBottom w:val="0"/>
                                                                                                                              <w:divBdr>
                                                                                                                                <w:top w:val="none" w:sz="0" w:space="0" w:color="auto"/>
                                                                                                                                <w:left w:val="none" w:sz="0" w:space="0" w:color="auto"/>
                                                                                                                                <w:bottom w:val="none" w:sz="0" w:space="0" w:color="auto"/>
                                                                                                                                <w:right w:val="none" w:sz="0" w:space="0" w:color="auto"/>
                                                                                                                              </w:divBdr>
                                                                                                                              <w:divsChild>
                                                                                                                                <w:div w:id="11199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22892">
      <w:bodyDiv w:val="1"/>
      <w:marLeft w:val="0"/>
      <w:marRight w:val="0"/>
      <w:marTop w:val="0"/>
      <w:marBottom w:val="0"/>
      <w:divBdr>
        <w:top w:val="none" w:sz="0" w:space="0" w:color="auto"/>
        <w:left w:val="none" w:sz="0" w:space="0" w:color="auto"/>
        <w:bottom w:val="none" w:sz="0" w:space="0" w:color="auto"/>
        <w:right w:val="none" w:sz="0" w:space="0" w:color="auto"/>
      </w:divBdr>
    </w:div>
    <w:div w:id="1315720556">
      <w:bodyDiv w:val="1"/>
      <w:marLeft w:val="0"/>
      <w:marRight w:val="0"/>
      <w:marTop w:val="0"/>
      <w:marBottom w:val="0"/>
      <w:divBdr>
        <w:top w:val="none" w:sz="0" w:space="0" w:color="auto"/>
        <w:left w:val="none" w:sz="0" w:space="0" w:color="auto"/>
        <w:bottom w:val="none" w:sz="0" w:space="0" w:color="auto"/>
        <w:right w:val="none" w:sz="0" w:space="0" w:color="auto"/>
      </w:divBdr>
    </w:div>
    <w:div w:id="1322468106">
      <w:bodyDiv w:val="1"/>
      <w:marLeft w:val="0"/>
      <w:marRight w:val="0"/>
      <w:marTop w:val="0"/>
      <w:marBottom w:val="0"/>
      <w:divBdr>
        <w:top w:val="none" w:sz="0" w:space="0" w:color="auto"/>
        <w:left w:val="none" w:sz="0" w:space="0" w:color="auto"/>
        <w:bottom w:val="none" w:sz="0" w:space="0" w:color="auto"/>
        <w:right w:val="none" w:sz="0" w:space="0" w:color="auto"/>
      </w:divBdr>
    </w:div>
    <w:div w:id="1335651004">
      <w:bodyDiv w:val="1"/>
      <w:marLeft w:val="0"/>
      <w:marRight w:val="0"/>
      <w:marTop w:val="0"/>
      <w:marBottom w:val="0"/>
      <w:divBdr>
        <w:top w:val="none" w:sz="0" w:space="0" w:color="auto"/>
        <w:left w:val="none" w:sz="0" w:space="0" w:color="auto"/>
        <w:bottom w:val="none" w:sz="0" w:space="0" w:color="auto"/>
        <w:right w:val="none" w:sz="0" w:space="0" w:color="auto"/>
      </w:divBdr>
    </w:div>
    <w:div w:id="1369449931">
      <w:bodyDiv w:val="1"/>
      <w:marLeft w:val="0"/>
      <w:marRight w:val="0"/>
      <w:marTop w:val="0"/>
      <w:marBottom w:val="0"/>
      <w:divBdr>
        <w:top w:val="none" w:sz="0" w:space="0" w:color="auto"/>
        <w:left w:val="none" w:sz="0" w:space="0" w:color="auto"/>
        <w:bottom w:val="none" w:sz="0" w:space="0" w:color="auto"/>
        <w:right w:val="none" w:sz="0" w:space="0" w:color="auto"/>
      </w:divBdr>
      <w:divsChild>
        <w:div w:id="1590578393">
          <w:marLeft w:val="0"/>
          <w:marRight w:val="0"/>
          <w:marTop w:val="0"/>
          <w:marBottom w:val="0"/>
          <w:divBdr>
            <w:top w:val="none" w:sz="0" w:space="0" w:color="auto"/>
            <w:left w:val="none" w:sz="0" w:space="0" w:color="auto"/>
            <w:bottom w:val="none" w:sz="0" w:space="0" w:color="auto"/>
            <w:right w:val="none" w:sz="0" w:space="0" w:color="auto"/>
          </w:divBdr>
          <w:divsChild>
            <w:div w:id="860238087">
              <w:marLeft w:val="0"/>
              <w:marRight w:val="0"/>
              <w:marTop w:val="0"/>
              <w:marBottom w:val="0"/>
              <w:divBdr>
                <w:top w:val="none" w:sz="0" w:space="0" w:color="auto"/>
                <w:left w:val="none" w:sz="0" w:space="0" w:color="auto"/>
                <w:bottom w:val="none" w:sz="0" w:space="0" w:color="auto"/>
                <w:right w:val="none" w:sz="0" w:space="0" w:color="auto"/>
              </w:divBdr>
              <w:divsChild>
                <w:div w:id="218250626">
                  <w:marLeft w:val="0"/>
                  <w:marRight w:val="0"/>
                  <w:marTop w:val="0"/>
                  <w:marBottom w:val="0"/>
                  <w:divBdr>
                    <w:top w:val="none" w:sz="0" w:space="0" w:color="auto"/>
                    <w:left w:val="none" w:sz="0" w:space="0" w:color="auto"/>
                    <w:bottom w:val="none" w:sz="0" w:space="0" w:color="auto"/>
                    <w:right w:val="none" w:sz="0" w:space="0" w:color="auto"/>
                  </w:divBdr>
                  <w:divsChild>
                    <w:div w:id="487133422">
                      <w:marLeft w:val="0"/>
                      <w:marRight w:val="0"/>
                      <w:marTop w:val="0"/>
                      <w:marBottom w:val="0"/>
                      <w:divBdr>
                        <w:top w:val="none" w:sz="0" w:space="0" w:color="auto"/>
                        <w:left w:val="none" w:sz="0" w:space="0" w:color="auto"/>
                        <w:bottom w:val="none" w:sz="0" w:space="0" w:color="auto"/>
                        <w:right w:val="none" w:sz="0" w:space="0" w:color="auto"/>
                      </w:divBdr>
                      <w:divsChild>
                        <w:div w:id="188489274">
                          <w:marLeft w:val="0"/>
                          <w:marRight w:val="0"/>
                          <w:marTop w:val="0"/>
                          <w:marBottom w:val="0"/>
                          <w:divBdr>
                            <w:top w:val="none" w:sz="0" w:space="0" w:color="auto"/>
                            <w:left w:val="none" w:sz="0" w:space="0" w:color="auto"/>
                            <w:bottom w:val="none" w:sz="0" w:space="0" w:color="auto"/>
                            <w:right w:val="none" w:sz="0" w:space="0" w:color="auto"/>
                          </w:divBdr>
                          <w:divsChild>
                            <w:div w:id="1733652538">
                              <w:marLeft w:val="0"/>
                              <w:marRight w:val="0"/>
                              <w:marTop w:val="0"/>
                              <w:marBottom w:val="0"/>
                              <w:divBdr>
                                <w:top w:val="none" w:sz="0" w:space="0" w:color="auto"/>
                                <w:left w:val="none" w:sz="0" w:space="0" w:color="auto"/>
                                <w:bottom w:val="none" w:sz="0" w:space="0" w:color="auto"/>
                                <w:right w:val="none" w:sz="0" w:space="0" w:color="auto"/>
                              </w:divBdr>
                              <w:divsChild>
                                <w:div w:id="407506434">
                                  <w:marLeft w:val="0"/>
                                  <w:marRight w:val="0"/>
                                  <w:marTop w:val="0"/>
                                  <w:marBottom w:val="0"/>
                                  <w:divBdr>
                                    <w:top w:val="none" w:sz="0" w:space="0" w:color="auto"/>
                                    <w:left w:val="none" w:sz="0" w:space="0" w:color="auto"/>
                                    <w:bottom w:val="none" w:sz="0" w:space="0" w:color="auto"/>
                                    <w:right w:val="none" w:sz="0" w:space="0" w:color="auto"/>
                                  </w:divBdr>
                                  <w:divsChild>
                                    <w:div w:id="2049641607">
                                      <w:marLeft w:val="0"/>
                                      <w:marRight w:val="0"/>
                                      <w:marTop w:val="0"/>
                                      <w:marBottom w:val="0"/>
                                      <w:divBdr>
                                        <w:top w:val="none" w:sz="0" w:space="0" w:color="auto"/>
                                        <w:left w:val="none" w:sz="0" w:space="0" w:color="auto"/>
                                        <w:bottom w:val="none" w:sz="0" w:space="0" w:color="auto"/>
                                        <w:right w:val="none" w:sz="0" w:space="0" w:color="auto"/>
                                      </w:divBdr>
                                      <w:divsChild>
                                        <w:div w:id="1988702248">
                                          <w:marLeft w:val="0"/>
                                          <w:marRight w:val="0"/>
                                          <w:marTop w:val="0"/>
                                          <w:marBottom w:val="0"/>
                                          <w:divBdr>
                                            <w:top w:val="none" w:sz="0" w:space="0" w:color="auto"/>
                                            <w:left w:val="none" w:sz="0" w:space="0" w:color="auto"/>
                                            <w:bottom w:val="none" w:sz="0" w:space="0" w:color="auto"/>
                                            <w:right w:val="none" w:sz="0" w:space="0" w:color="auto"/>
                                          </w:divBdr>
                                          <w:divsChild>
                                            <w:div w:id="183228749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2524984">
                                                  <w:marLeft w:val="0"/>
                                                  <w:marRight w:val="0"/>
                                                  <w:marTop w:val="0"/>
                                                  <w:marBottom w:val="0"/>
                                                  <w:divBdr>
                                                    <w:top w:val="none" w:sz="0" w:space="0" w:color="auto"/>
                                                    <w:left w:val="none" w:sz="0" w:space="0" w:color="auto"/>
                                                    <w:bottom w:val="none" w:sz="0" w:space="0" w:color="auto"/>
                                                    <w:right w:val="none" w:sz="0" w:space="0" w:color="auto"/>
                                                  </w:divBdr>
                                                  <w:divsChild>
                                                    <w:div w:id="1216312058">
                                                      <w:marLeft w:val="0"/>
                                                      <w:marRight w:val="0"/>
                                                      <w:marTop w:val="0"/>
                                                      <w:marBottom w:val="0"/>
                                                      <w:divBdr>
                                                        <w:top w:val="none" w:sz="0" w:space="0" w:color="auto"/>
                                                        <w:left w:val="none" w:sz="0" w:space="0" w:color="auto"/>
                                                        <w:bottom w:val="none" w:sz="0" w:space="0" w:color="auto"/>
                                                        <w:right w:val="none" w:sz="0" w:space="0" w:color="auto"/>
                                                      </w:divBdr>
                                                      <w:divsChild>
                                                        <w:div w:id="827553795">
                                                          <w:marLeft w:val="0"/>
                                                          <w:marRight w:val="0"/>
                                                          <w:marTop w:val="0"/>
                                                          <w:marBottom w:val="0"/>
                                                          <w:divBdr>
                                                            <w:top w:val="none" w:sz="0" w:space="0" w:color="auto"/>
                                                            <w:left w:val="none" w:sz="0" w:space="0" w:color="auto"/>
                                                            <w:bottom w:val="none" w:sz="0" w:space="0" w:color="auto"/>
                                                            <w:right w:val="none" w:sz="0" w:space="0" w:color="auto"/>
                                                          </w:divBdr>
                                                          <w:divsChild>
                                                            <w:div w:id="1609313618">
                                                              <w:marLeft w:val="0"/>
                                                              <w:marRight w:val="0"/>
                                                              <w:marTop w:val="0"/>
                                                              <w:marBottom w:val="0"/>
                                                              <w:divBdr>
                                                                <w:top w:val="none" w:sz="0" w:space="0" w:color="auto"/>
                                                                <w:left w:val="none" w:sz="0" w:space="0" w:color="auto"/>
                                                                <w:bottom w:val="none" w:sz="0" w:space="0" w:color="auto"/>
                                                                <w:right w:val="none" w:sz="0" w:space="0" w:color="auto"/>
                                                              </w:divBdr>
                                                              <w:divsChild>
                                                                <w:div w:id="715157100">
                                                                  <w:marLeft w:val="0"/>
                                                                  <w:marRight w:val="0"/>
                                                                  <w:marTop w:val="0"/>
                                                                  <w:marBottom w:val="0"/>
                                                                  <w:divBdr>
                                                                    <w:top w:val="none" w:sz="0" w:space="0" w:color="auto"/>
                                                                    <w:left w:val="none" w:sz="0" w:space="0" w:color="auto"/>
                                                                    <w:bottom w:val="none" w:sz="0" w:space="0" w:color="auto"/>
                                                                    <w:right w:val="none" w:sz="0" w:space="0" w:color="auto"/>
                                                                  </w:divBdr>
                                                                  <w:divsChild>
                                                                    <w:div w:id="1444223828">
                                                                      <w:marLeft w:val="0"/>
                                                                      <w:marRight w:val="0"/>
                                                                      <w:marTop w:val="0"/>
                                                                      <w:marBottom w:val="0"/>
                                                                      <w:divBdr>
                                                                        <w:top w:val="none" w:sz="0" w:space="0" w:color="auto"/>
                                                                        <w:left w:val="none" w:sz="0" w:space="0" w:color="auto"/>
                                                                        <w:bottom w:val="none" w:sz="0" w:space="0" w:color="auto"/>
                                                                        <w:right w:val="none" w:sz="0" w:space="0" w:color="auto"/>
                                                                      </w:divBdr>
                                                                      <w:divsChild>
                                                                        <w:div w:id="1659380430">
                                                                          <w:marLeft w:val="0"/>
                                                                          <w:marRight w:val="0"/>
                                                                          <w:marTop w:val="0"/>
                                                                          <w:marBottom w:val="0"/>
                                                                          <w:divBdr>
                                                                            <w:top w:val="none" w:sz="0" w:space="0" w:color="auto"/>
                                                                            <w:left w:val="none" w:sz="0" w:space="0" w:color="auto"/>
                                                                            <w:bottom w:val="none" w:sz="0" w:space="0" w:color="auto"/>
                                                                            <w:right w:val="none" w:sz="0" w:space="0" w:color="auto"/>
                                                                          </w:divBdr>
                                                                          <w:divsChild>
                                                                            <w:div w:id="1902979704">
                                                                              <w:marLeft w:val="0"/>
                                                                              <w:marRight w:val="0"/>
                                                                              <w:marTop w:val="0"/>
                                                                              <w:marBottom w:val="0"/>
                                                                              <w:divBdr>
                                                                                <w:top w:val="none" w:sz="0" w:space="0" w:color="auto"/>
                                                                                <w:left w:val="none" w:sz="0" w:space="0" w:color="auto"/>
                                                                                <w:bottom w:val="none" w:sz="0" w:space="0" w:color="auto"/>
                                                                                <w:right w:val="none" w:sz="0" w:space="0" w:color="auto"/>
                                                                              </w:divBdr>
                                                                              <w:divsChild>
                                                                                <w:div w:id="1339886509">
                                                                                  <w:marLeft w:val="0"/>
                                                                                  <w:marRight w:val="0"/>
                                                                                  <w:marTop w:val="0"/>
                                                                                  <w:marBottom w:val="0"/>
                                                                                  <w:divBdr>
                                                                                    <w:top w:val="none" w:sz="0" w:space="0" w:color="auto"/>
                                                                                    <w:left w:val="none" w:sz="0" w:space="0" w:color="auto"/>
                                                                                    <w:bottom w:val="none" w:sz="0" w:space="0" w:color="auto"/>
                                                                                    <w:right w:val="none" w:sz="0" w:space="0" w:color="auto"/>
                                                                                  </w:divBdr>
                                                                                  <w:divsChild>
                                                                                    <w:div w:id="1293098178">
                                                                                      <w:marLeft w:val="0"/>
                                                                                      <w:marRight w:val="0"/>
                                                                                      <w:marTop w:val="0"/>
                                                                                      <w:marBottom w:val="0"/>
                                                                                      <w:divBdr>
                                                                                        <w:top w:val="none" w:sz="0" w:space="0" w:color="auto"/>
                                                                                        <w:left w:val="none" w:sz="0" w:space="0" w:color="auto"/>
                                                                                        <w:bottom w:val="none" w:sz="0" w:space="0" w:color="auto"/>
                                                                                        <w:right w:val="none" w:sz="0" w:space="0" w:color="auto"/>
                                                                                      </w:divBdr>
                                                                                      <w:divsChild>
                                                                                        <w:div w:id="1054237234">
                                                                                          <w:marLeft w:val="0"/>
                                                                                          <w:marRight w:val="120"/>
                                                                                          <w:marTop w:val="0"/>
                                                                                          <w:marBottom w:val="150"/>
                                                                                          <w:divBdr>
                                                                                            <w:top w:val="single" w:sz="2" w:space="0" w:color="EFEFEF"/>
                                                                                            <w:left w:val="single" w:sz="6" w:space="0" w:color="EFEFEF"/>
                                                                                            <w:bottom w:val="single" w:sz="6" w:space="0" w:color="E2E2E2"/>
                                                                                            <w:right w:val="single" w:sz="6" w:space="0" w:color="EFEFEF"/>
                                                                                          </w:divBdr>
                                                                                          <w:divsChild>
                                                                                            <w:div w:id="18630346">
                                                                                              <w:marLeft w:val="0"/>
                                                                                              <w:marRight w:val="0"/>
                                                                                              <w:marTop w:val="0"/>
                                                                                              <w:marBottom w:val="0"/>
                                                                                              <w:divBdr>
                                                                                                <w:top w:val="none" w:sz="0" w:space="0" w:color="auto"/>
                                                                                                <w:left w:val="none" w:sz="0" w:space="0" w:color="auto"/>
                                                                                                <w:bottom w:val="none" w:sz="0" w:space="0" w:color="auto"/>
                                                                                                <w:right w:val="none" w:sz="0" w:space="0" w:color="auto"/>
                                                                                              </w:divBdr>
                                                                                              <w:divsChild>
                                                                                                <w:div w:id="640228070">
                                                                                                  <w:marLeft w:val="0"/>
                                                                                                  <w:marRight w:val="0"/>
                                                                                                  <w:marTop w:val="0"/>
                                                                                                  <w:marBottom w:val="0"/>
                                                                                                  <w:divBdr>
                                                                                                    <w:top w:val="none" w:sz="0" w:space="0" w:color="auto"/>
                                                                                                    <w:left w:val="none" w:sz="0" w:space="0" w:color="auto"/>
                                                                                                    <w:bottom w:val="none" w:sz="0" w:space="0" w:color="auto"/>
                                                                                                    <w:right w:val="none" w:sz="0" w:space="0" w:color="auto"/>
                                                                                                  </w:divBdr>
                                                                                                  <w:divsChild>
                                                                                                    <w:div w:id="825051395">
                                                                                                      <w:marLeft w:val="0"/>
                                                                                                      <w:marRight w:val="0"/>
                                                                                                      <w:marTop w:val="0"/>
                                                                                                      <w:marBottom w:val="0"/>
                                                                                                      <w:divBdr>
                                                                                                        <w:top w:val="none" w:sz="0" w:space="0" w:color="auto"/>
                                                                                                        <w:left w:val="none" w:sz="0" w:space="0" w:color="auto"/>
                                                                                                        <w:bottom w:val="none" w:sz="0" w:space="0" w:color="auto"/>
                                                                                                        <w:right w:val="none" w:sz="0" w:space="0" w:color="auto"/>
                                                                                                      </w:divBdr>
                                                                                                      <w:divsChild>
                                                                                                        <w:div w:id="1963221767">
                                                                                                          <w:marLeft w:val="0"/>
                                                                                                          <w:marRight w:val="0"/>
                                                                                                          <w:marTop w:val="0"/>
                                                                                                          <w:marBottom w:val="0"/>
                                                                                                          <w:divBdr>
                                                                                                            <w:top w:val="none" w:sz="0" w:space="0" w:color="auto"/>
                                                                                                            <w:left w:val="none" w:sz="0" w:space="0" w:color="auto"/>
                                                                                                            <w:bottom w:val="none" w:sz="0" w:space="0" w:color="auto"/>
                                                                                                            <w:right w:val="none" w:sz="0" w:space="0" w:color="auto"/>
                                                                                                          </w:divBdr>
                                                                                                          <w:divsChild>
                                                                                                            <w:div w:id="2115442092">
                                                                                                              <w:marLeft w:val="0"/>
                                                                                                              <w:marRight w:val="0"/>
                                                                                                              <w:marTop w:val="0"/>
                                                                                                              <w:marBottom w:val="0"/>
                                                                                                              <w:divBdr>
                                                                                                                <w:top w:val="none" w:sz="0" w:space="0" w:color="auto"/>
                                                                                                                <w:left w:val="none" w:sz="0" w:space="0" w:color="auto"/>
                                                                                                                <w:bottom w:val="none" w:sz="0" w:space="0" w:color="auto"/>
                                                                                                                <w:right w:val="none" w:sz="0" w:space="0" w:color="auto"/>
                                                                                                              </w:divBdr>
                                                                                                              <w:divsChild>
                                                                                                                <w:div w:id="1287271884">
                                                                                                                  <w:marLeft w:val="0"/>
                                                                                                                  <w:marRight w:val="0"/>
                                                                                                                  <w:marTop w:val="0"/>
                                                                                                                  <w:marBottom w:val="0"/>
                                                                                                                  <w:divBdr>
                                                                                                                    <w:top w:val="single" w:sz="2" w:space="4" w:color="D8D8D8"/>
                                                                                                                    <w:left w:val="single" w:sz="2" w:space="0" w:color="D8D8D8"/>
                                                                                                                    <w:bottom w:val="single" w:sz="2" w:space="4" w:color="D8D8D8"/>
                                                                                                                    <w:right w:val="single" w:sz="2" w:space="0" w:color="D8D8D8"/>
                                                                                                                  </w:divBdr>
                                                                                                                  <w:divsChild>
                                                                                                                    <w:div w:id="304701312">
                                                                                                                      <w:marLeft w:val="225"/>
                                                                                                                      <w:marRight w:val="225"/>
                                                                                                                      <w:marTop w:val="75"/>
                                                                                                                      <w:marBottom w:val="75"/>
                                                                                                                      <w:divBdr>
                                                                                                                        <w:top w:val="none" w:sz="0" w:space="0" w:color="auto"/>
                                                                                                                        <w:left w:val="none" w:sz="0" w:space="0" w:color="auto"/>
                                                                                                                        <w:bottom w:val="none" w:sz="0" w:space="0" w:color="auto"/>
                                                                                                                        <w:right w:val="none" w:sz="0" w:space="0" w:color="auto"/>
                                                                                                                      </w:divBdr>
                                                                                                                      <w:divsChild>
                                                                                                                        <w:div w:id="835999811">
                                                                                                                          <w:marLeft w:val="0"/>
                                                                                                                          <w:marRight w:val="0"/>
                                                                                                                          <w:marTop w:val="0"/>
                                                                                                                          <w:marBottom w:val="0"/>
                                                                                                                          <w:divBdr>
                                                                                                                            <w:top w:val="single" w:sz="6" w:space="0" w:color="auto"/>
                                                                                                                            <w:left w:val="single" w:sz="6" w:space="0" w:color="auto"/>
                                                                                                                            <w:bottom w:val="single" w:sz="6" w:space="0" w:color="auto"/>
                                                                                                                            <w:right w:val="single" w:sz="6" w:space="0" w:color="auto"/>
                                                                                                                          </w:divBdr>
                                                                                                                          <w:divsChild>
                                                                                                                            <w:div w:id="1654483817">
                                                                                                                              <w:marLeft w:val="0"/>
                                                                                                                              <w:marRight w:val="0"/>
                                                                                                                              <w:marTop w:val="0"/>
                                                                                                                              <w:marBottom w:val="0"/>
                                                                                                                              <w:divBdr>
                                                                                                                                <w:top w:val="none" w:sz="0" w:space="0" w:color="auto"/>
                                                                                                                                <w:left w:val="none" w:sz="0" w:space="0" w:color="auto"/>
                                                                                                                                <w:bottom w:val="none" w:sz="0" w:space="0" w:color="auto"/>
                                                                                                                                <w:right w:val="none" w:sz="0" w:space="0" w:color="auto"/>
                                                                                                                              </w:divBdr>
                                                                                                                              <w:divsChild>
                                                                                                                                <w:div w:id="18088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231915">
      <w:bodyDiv w:val="1"/>
      <w:marLeft w:val="0"/>
      <w:marRight w:val="0"/>
      <w:marTop w:val="0"/>
      <w:marBottom w:val="0"/>
      <w:divBdr>
        <w:top w:val="none" w:sz="0" w:space="0" w:color="auto"/>
        <w:left w:val="none" w:sz="0" w:space="0" w:color="auto"/>
        <w:bottom w:val="none" w:sz="0" w:space="0" w:color="auto"/>
        <w:right w:val="none" w:sz="0" w:space="0" w:color="auto"/>
      </w:divBdr>
    </w:div>
    <w:div w:id="1430392685">
      <w:bodyDiv w:val="1"/>
      <w:marLeft w:val="0"/>
      <w:marRight w:val="0"/>
      <w:marTop w:val="0"/>
      <w:marBottom w:val="0"/>
      <w:divBdr>
        <w:top w:val="none" w:sz="0" w:space="0" w:color="auto"/>
        <w:left w:val="none" w:sz="0" w:space="0" w:color="auto"/>
        <w:bottom w:val="none" w:sz="0" w:space="0" w:color="auto"/>
        <w:right w:val="none" w:sz="0" w:space="0" w:color="auto"/>
      </w:divBdr>
    </w:div>
    <w:div w:id="1454667517">
      <w:bodyDiv w:val="1"/>
      <w:marLeft w:val="0"/>
      <w:marRight w:val="0"/>
      <w:marTop w:val="0"/>
      <w:marBottom w:val="0"/>
      <w:divBdr>
        <w:top w:val="none" w:sz="0" w:space="0" w:color="auto"/>
        <w:left w:val="none" w:sz="0" w:space="0" w:color="auto"/>
        <w:bottom w:val="none" w:sz="0" w:space="0" w:color="auto"/>
        <w:right w:val="none" w:sz="0" w:space="0" w:color="auto"/>
      </w:divBdr>
    </w:div>
    <w:div w:id="1495679194">
      <w:bodyDiv w:val="1"/>
      <w:marLeft w:val="0"/>
      <w:marRight w:val="0"/>
      <w:marTop w:val="0"/>
      <w:marBottom w:val="0"/>
      <w:divBdr>
        <w:top w:val="none" w:sz="0" w:space="0" w:color="auto"/>
        <w:left w:val="none" w:sz="0" w:space="0" w:color="auto"/>
        <w:bottom w:val="none" w:sz="0" w:space="0" w:color="auto"/>
        <w:right w:val="none" w:sz="0" w:space="0" w:color="auto"/>
      </w:divBdr>
      <w:divsChild>
        <w:div w:id="1997145340">
          <w:marLeft w:val="0"/>
          <w:marRight w:val="0"/>
          <w:marTop w:val="0"/>
          <w:marBottom w:val="0"/>
          <w:divBdr>
            <w:top w:val="none" w:sz="0" w:space="0" w:color="auto"/>
            <w:left w:val="none" w:sz="0" w:space="0" w:color="auto"/>
            <w:bottom w:val="single" w:sz="6" w:space="11" w:color="E6E6E6"/>
            <w:right w:val="none" w:sz="0" w:space="0" w:color="auto"/>
          </w:divBdr>
        </w:div>
        <w:div w:id="859008964">
          <w:marLeft w:val="0"/>
          <w:marRight w:val="0"/>
          <w:marTop w:val="0"/>
          <w:marBottom w:val="0"/>
          <w:divBdr>
            <w:top w:val="none" w:sz="0" w:space="0" w:color="auto"/>
            <w:left w:val="none" w:sz="0" w:space="0" w:color="auto"/>
            <w:bottom w:val="none" w:sz="0" w:space="0" w:color="auto"/>
            <w:right w:val="none" w:sz="0" w:space="0" w:color="auto"/>
          </w:divBdr>
        </w:div>
      </w:divsChild>
    </w:div>
    <w:div w:id="1527063645">
      <w:bodyDiv w:val="1"/>
      <w:marLeft w:val="0"/>
      <w:marRight w:val="0"/>
      <w:marTop w:val="0"/>
      <w:marBottom w:val="0"/>
      <w:divBdr>
        <w:top w:val="none" w:sz="0" w:space="0" w:color="auto"/>
        <w:left w:val="none" w:sz="0" w:space="0" w:color="auto"/>
        <w:bottom w:val="none" w:sz="0" w:space="0" w:color="auto"/>
        <w:right w:val="none" w:sz="0" w:space="0" w:color="auto"/>
      </w:divBdr>
    </w:div>
    <w:div w:id="1572229727">
      <w:bodyDiv w:val="1"/>
      <w:marLeft w:val="0"/>
      <w:marRight w:val="0"/>
      <w:marTop w:val="0"/>
      <w:marBottom w:val="0"/>
      <w:divBdr>
        <w:top w:val="none" w:sz="0" w:space="0" w:color="auto"/>
        <w:left w:val="none" w:sz="0" w:space="0" w:color="auto"/>
        <w:bottom w:val="none" w:sz="0" w:space="0" w:color="auto"/>
        <w:right w:val="none" w:sz="0" w:space="0" w:color="auto"/>
      </w:divBdr>
    </w:div>
    <w:div w:id="1765762443">
      <w:bodyDiv w:val="1"/>
      <w:marLeft w:val="0"/>
      <w:marRight w:val="0"/>
      <w:marTop w:val="0"/>
      <w:marBottom w:val="0"/>
      <w:divBdr>
        <w:top w:val="none" w:sz="0" w:space="0" w:color="auto"/>
        <w:left w:val="none" w:sz="0" w:space="0" w:color="auto"/>
        <w:bottom w:val="none" w:sz="0" w:space="0" w:color="auto"/>
        <w:right w:val="none" w:sz="0" w:space="0" w:color="auto"/>
      </w:divBdr>
    </w:div>
    <w:div w:id="1824085462">
      <w:bodyDiv w:val="1"/>
      <w:marLeft w:val="0"/>
      <w:marRight w:val="0"/>
      <w:marTop w:val="0"/>
      <w:marBottom w:val="0"/>
      <w:divBdr>
        <w:top w:val="none" w:sz="0" w:space="0" w:color="auto"/>
        <w:left w:val="none" w:sz="0" w:space="0" w:color="auto"/>
        <w:bottom w:val="none" w:sz="0" w:space="0" w:color="auto"/>
        <w:right w:val="none" w:sz="0" w:space="0" w:color="auto"/>
      </w:divBdr>
    </w:div>
    <w:div w:id="21150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ae.gov.br/wp-content/uploads/EMPREENDEDORISMO-VANGUARDISTA-FINAL-FUNDO-CLARO.pdf" TargetMode="External"/><Relationship Id="rId13" Type="http://schemas.openxmlformats.org/officeDocument/2006/relationships/hyperlink" Target="http://ssrn.com/abstract=2096996" TargetMode="External"/><Relationship Id="rId18" Type="http://schemas.openxmlformats.org/officeDocument/2006/relationships/hyperlink" Target="http://ssrn.com/abstract=1969843" TargetMode="External"/><Relationship Id="rId3" Type="http://schemas.openxmlformats.org/officeDocument/2006/relationships/hyperlink" Target="http://bibliotecadigital.fgv.br/dspace/handle/10438/15148" TargetMode="External"/><Relationship Id="rId7" Type="http://schemas.openxmlformats.org/officeDocument/2006/relationships/hyperlink" Target="http://www.teses.usp.br/teses/disponiveis/2/2132/tde-04072012-113122/publico/Dissertacao_Anna_Beatriz_Alves_Margoni_Versao_Integral.pdf" TargetMode="External"/><Relationship Id="rId12" Type="http://schemas.openxmlformats.org/officeDocument/2006/relationships/hyperlink" Target="http://www.doingbusiness.org/data/exploreeconomies/brazil/" TargetMode="External"/><Relationship Id="rId17" Type="http://schemas.openxmlformats.org/officeDocument/2006/relationships/hyperlink" Target="http://papers.ssrn.com/sol3/papers.cfm?abstract_id=261854" TargetMode="External"/><Relationship Id="rId2" Type="http://schemas.openxmlformats.org/officeDocument/2006/relationships/hyperlink" Target="http://papers.ssrn.com/sol3/papers.cfm?abstract_id=2223905" TargetMode="External"/><Relationship Id="rId16" Type="http://schemas.openxmlformats.org/officeDocument/2006/relationships/hyperlink" Target="https://ssrn.com/abstract=2571739" TargetMode="External"/><Relationship Id="rId1" Type="http://schemas.openxmlformats.org/officeDocument/2006/relationships/hyperlink" Target="https://ssrn.com/abstract=2601035" TargetMode="External"/><Relationship Id="rId6" Type="http://schemas.openxmlformats.org/officeDocument/2006/relationships/hyperlink" Target="http://diazreus.com/before-hiring-employees-in-brazil-consider-this/" TargetMode="External"/><Relationship Id="rId11" Type="http://schemas.openxmlformats.org/officeDocument/2006/relationships/hyperlink" Target="http://www.bcb.gov.br/pec/wps/ingl/wps233.pdf" TargetMode="External"/><Relationship Id="rId5" Type="http://schemas.openxmlformats.org/officeDocument/2006/relationships/hyperlink" Target="http://www.cnj.jus.br/files/conteudo/arquivo/2015/11/491328c33144833370f375278683f955.pdf" TargetMode="External"/><Relationship Id="rId15" Type="http://schemas.openxmlformats.org/officeDocument/2006/relationships/hyperlink" Target="http://ssrn.com/abstract=915004" TargetMode="External"/><Relationship Id="rId10" Type="http://schemas.openxmlformats.org/officeDocument/2006/relationships/hyperlink" Target="http://www.bmfbovespa.com.br/lumis/portal/file/fileDownload.jsp?fileId=8A828D295048C0EF0150CE2C3F077741" TargetMode="External"/><Relationship Id="rId4" Type="http://schemas.openxmlformats.org/officeDocument/2006/relationships/hyperlink" Target="http://contractenforcement.blogspot.com.br/" TargetMode="External"/><Relationship Id="rId9" Type="http://schemas.openxmlformats.org/officeDocument/2006/relationships/hyperlink" Target="http://ssrn.com/abstract=2765264" TargetMode="External"/><Relationship Id="rId14" Type="http://schemas.openxmlformats.org/officeDocument/2006/relationships/hyperlink" Target="http://ssrn.com/abstract=267089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A0F9-1F6E-4CA3-BA95-C59A8798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48</Pages>
  <Words>17735</Words>
  <Characters>95774</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Pargendler</dc:creator>
  <cp:keywords/>
  <dc:description/>
  <cp:lastModifiedBy>Mariana Pargendler</cp:lastModifiedBy>
  <cp:revision>6</cp:revision>
  <cp:lastPrinted>2016-10-28T11:41:00Z</cp:lastPrinted>
  <dcterms:created xsi:type="dcterms:W3CDTF">2016-12-20T13:18:00Z</dcterms:created>
  <dcterms:modified xsi:type="dcterms:W3CDTF">2016-12-20T16:37:00Z</dcterms:modified>
</cp:coreProperties>
</file>